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875C" w14:textId="77777777" w:rsidR="000E058F" w:rsidRDefault="009755FF">
      <w:pPr>
        <w:pStyle w:val="a5"/>
        <w:widowControl/>
        <w:shd w:val="clear" w:color="auto" w:fill="FFFFFF"/>
        <w:spacing w:beforeAutospacing="0" w:afterAutospacing="0" w:line="7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图解第九版新型冠状病毒肺炎防控方案</w:t>
      </w:r>
    </w:p>
    <w:p w14:paraId="72429169" w14:textId="77777777" w:rsidR="000E058F" w:rsidRDefault="000E058F">
      <w:pPr>
        <w:spacing w:line="400" w:lineRule="exact"/>
        <w:ind w:firstLineChars="200" w:firstLine="640"/>
        <w:rPr>
          <w:rFonts w:ascii="Times New Roman" w:eastAsia="黑体" w:hAnsi="Times New Roman" w:cs="Times New Roman"/>
          <w:sz w:val="32"/>
          <w:szCs w:val="32"/>
        </w:rPr>
      </w:pPr>
    </w:p>
    <w:p w14:paraId="7ED163CC" w14:textId="77777777" w:rsidR="000E058F" w:rsidRDefault="009755FF">
      <w:pPr>
        <w:pStyle w:val="a5"/>
        <w:widowControl/>
        <w:spacing w:beforeAutospacing="0" w:afterAutospacing="0" w:line="48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t>一、</w:t>
      </w:r>
      <w:r>
        <w:rPr>
          <w:rFonts w:ascii="Times New Roman" w:eastAsia="黑体" w:hAnsi="Times New Roman"/>
          <w:kern w:val="2"/>
          <w:sz w:val="32"/>
          <w:szCs w:val="32"/>
        </w:rPr>
        <w:t>聚集性疫情定义</w:t>
      </w:r>
    </w:p>
    <w:p w14:paraId="41EE96A6" w14:textId="77777777" w:rsidR="000E058F" w:rsidRDefault="000E058F">
      <w:pPr>
        <w:spacing w:line="400" w:lineRule="exact"/>
        <w:ind w:firstLineChars="100" w:firstLine="320"/>
        <w:rPr>
          <w:rFonts w:ascii="Times New Roman" w:eastAsia="黑体" w:hAnsi="Times New Roman" w:cs="Times New Roman"/>
          <w:sz w:val="32"/>
          <w:szCs w:val="32"/>
        </w:rPr>
      </w:pPr>
    </w:p>
    <w:tbl>
      <w:tblPr>
        <w:tblStyle w:val="a6"/>
        <w:tblW w:w="8899" w:type="dxa"/>
        <w:jc w:val="center"/>
        <w:tblLook w:val="04A0" w:firstRow="1" w:lastRow="0" w:firstColumn="1" w:lastColumn="0" w:noHBand="0" w:noVBand="1"/>
      </w:tblPr>
      <w:tblGrid>
        <w:gridCol w:w="1514"/>
        <w:gridCol w:w="3592"/>
        <w:gridCol w:w="3793"/>
      </w:tblGrid>
      <w:tr w:rsidR="000E058F" w14:paraId="162330C9" w14:textId="77777777">
        <w:trPr>
          <w:trHeight w:val="901"/>
          <w:jc w:val="center"/>
        </w:trPr>
        <w:tc>
          <w:tcPr>
            <w:tcW w:w="1514" w:type="dxa"/>
            <w:vMerge w:val="restart"/>
            <w:vAlign w:val="center"/>
          </w:tcPr>
          <w:p w14:paraId="79163CC9"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聚集性</w:t>
            </w:r>
          </w:p>
          <w:p w14:paraId="6526ED18" w14:textId="77777777" w:rsidR="000E058F" w:rsidRDefault="009755FF">
            <w:pPr>
              <w:widowControl/>
              <w:spacing w:line="500" w:lineRule="exact"/>
              <w:jc w:val="center"/>
              <w:textAlignment w:val="center"/>
              <w:rPr>
                <w:rFonts w:ascii="Times New Roman" w:eastAsia="宋体" w:hAnsi="Times New Roman" w:cs="Times New Roman"/>
                <w:color w:val="000000"/>
                <w:kern w:val="0"/>
                <w:sz w:val="28"/>
                <w:szCs w:val="28"/>
                <w:lang w:bidi="ar"/>
              </w:rPr>
            </w:pPr>
            <w:r>
              <w:rPr>
                <w:rFonts w:ascii="Times New Roman" w:eastAsia="宋体" w:hAnsi="Times New Roman" w:cs="Times New Roman"/>
                <w:b/>
                <w:bCs/>
                <w:color w:val="000000"/>
                <w:kern w:val="0"/>
                <w:sz w:val="28"/>
                <w:szCs w:val="28"/>
                <w:lang w:bidi="ar"/>
              </w:rPr>
              <w:t>疫情</w:t>
            </w:r>
          </w:p>
        </w:tc>
        <w:tc>
          <w:tcPr>
            <w:tcW w:w="3592" w:type="dxa"/>
            <w:vAlign w:val="center"/>
          </w:tcPr>
          <w:p w14:paraId="21629826"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第八版</w:t>
            </w:r>
          </w:p>
        </w:tc>
        <w:tc>
          <w:tcPr>
            <w:tcW w:w="3793" w:type="dxa"/>
            <w:vAlign w:val="center"/>
          </w:tcPr>
          <w:p w14:paraId="5E73A8E5"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第九版</w:t>
            </w:r>
          </w:p>
        </w:tc>
      </w:tr>
      <w:tr w:rsidR="000E058F" w14:paraId="3ABFF32A" w14:textId="77777777">
        <w:trPr>
          <w:trHeight w:val="3452"/>
          <w:jc w:val="center"/>
        </w:trPr>
        <w:tc>
          <w:tcPr>
            <w:tcW w:w="1514" w:type="dxa"/>
            <w:vMerge/>
            <w:vAlign w:val="center"/>
          </w:tcPr>
          <w:p w14:paraId="5F134F75" w14:textId="77777777" w:rsidR="000E058F" w:rsidRDefault="000E058F">
            <w:pPr>
              <w:widowControl/>
              <w:spacing w:line="500" w:lineRule="exact"/>
              <w:jc w:val="left"/>
              <w:textAlignment w:val="center"/>
              <w:rPr>
                <w:rFonts w:ascii="Times New Roman" w:eastAsia="宋体" w:hAnsi="Times New Roman" w:cs="Times New Roman"/>
                <w:color w:val="000000"/>
                <w:kern w:val="0"/>
                <w:sz w:val="28"/>
                <w:szCs w:val="28"/>
                <w:lang w:bidi="ar"/>
              </w:rPr>
            </w:pPr>
          </w:p>
        </w:tc>
        <w:tc>
          <w:tcPr>
            <w:tcW w:w="3592" w:type="dxa"/>
            <w:vAlign w:val="center"/>
          </w:tcPr>
          <w:p w14:paraId="02DC1D70" w14:textId="77777777" w:rsidR="000E058F" w:rsidRDefault="009755FF">
            <w:pPr>
              <w:widowControl/>
              <w:spacing w:line="500" w:lineRule="exact"/>
              <w:jc w:val="left"/>
              <w:textAlignment w:val="center"/>
              <w:rPr>
                <w:rFonts w:ascii="Times New Roman" w:eastAsia="宋体" w:hAnsi="Times New Roman" w:cs="Times New Roman"/>
                <w:color w:val="000000"/>
                <w:kern w:val="0"/>
                <w:sz w:val="28"/>
                <w:szCs w:val="28"/>
                <w:lang w:bidi="ar"/>
              </w:rPr>
            </w:pPr>
            <w:r>
              <w:rPr>
                <w:rFonts w:asciiTheme="minorEastAsia" w:hAnsiTheme="minorEastAsia" w:cstheme="minorEastAsia"/>
                <w:color w:val="000000"/>
                <w:kern w:val="0"/>
                <w:sz w:val="28"/>
                <w:szCs w:val="28"/>
                <w:lang w:bidi="ar"/>
              </w:rPr>
              <w:t>聚集性疫情是指</w:t>
            </w:r>
            <w:r>
              <w:rPr>
                <w:rFonts w:asciiTheme="minorEastAsia" w:hAnsiTheme="minorEastAsia" w:cstheme="minorEastAsia"/>
                <w:color w:val="000000"/>
                <w:kern w:val="0"/>
                <w:sz w:val="28"/>
                <w:szCs w:val="28"/>
                <w:lang w:bidi="ar"/>
              </w:rPr>
              <w:t>14</w:t>
            </w:r>
            <w:r>
              <w:rPr>
                <w:rFonts w:asciiTheme="minorEastAsia" w:hAnsiTheme="minorEastAsia" w:cstheme="minorEastAsia"/>
                <w:color w:val="000000"/>
                <w:kern w:val="0"/>
                <w:sz w:val="28"/>
                <w:szCs w:val="28"/>
                <w:lang w:bidi="ar"/>
              </w:rPr>
              <w:t>天内在学校、</w:t>
            </w:r>
            <w:r>
              <w:rPr>
                <w:rFonts w:asciiTheme="minorEastAsia" w:hAnsiTheme="minorEastAsia" w:cstheme="minorEastAsia"/>
                <w:color w:val="000000"/>
                <w:kern w:val="0"/>
                <w:sz w:val="28"/>
                <w:szCs w:val="28"/>
                <w:lang w:bidi="ar"/>
              </w:rPr>
              <w:t xml:space="preserve"> </w:t>
            </w:r>
            <w:r>
              <w:rPr>
                <w:rFonts w:asciiTheme="minorEastAsia" w:hAnsiTheme="minorEastAsia" w:cstheme="minorEastAsia"/>
                <w:color w:val="000000"/>
                <w:kern w:val="0"/>
                <w:sz w:val="28"/>
                <w:szCs w:val="28"/>
                <w:lang w:bidi="ar"/>
              </w:rPr>
              <w:t>居民小区、工厂、自然村、医疗机构等范围内发现</w:t>
            </w:r>
            <w:r>
              <w:rPr>
                <w:rFonts w:asciiTheme="minorEastAsia" w:hAnsiTheme="minorEastAsia" w:cstheme="minorEastAsia"/>
                <w:color w:val="000000"/>
                <w:kern w:val="0"/>
                <w:sz w:val="28"/>
                <w:szCs w:val="28"/>
                <w:lang w:bidi="ar"/>
              </w:rPr>
              <w:t>5</w:t>
            </w:r>
            <w:r>
              <w:rPr>
                <w:rFonts w:asciiTheme="minorEastAsia" w:hAnsiTheme="minorEastAsia" w:cstheme="minorEastAsia"/>
                <w:color w:val="000000"/>
                <w:kern w:val="0"/>
                <w:sz w:val="28"/>
                <w:szCs w:val="28"/>
                <w:lang w:bidi="ar"/>
              </w:rPr>
              <w:t>例及以上病例和无症状感染者</w:t>
            </w:r>
            <w:r>
              <w:rPr>
                <w:rFonts w:asciiTheme="minorEastAsia" w:hAnsiTheme="minorEastAsia" w:cstheme="minorEastAsia" w:hint="eastAsia"/>
                <w:color w:val="000000"/>
                <w:kern w:val="0"/>
                <w:sz w:val="28"/>
                <w:szCs w:val="28"/>
                <w:lang w:bidi="ar"/>
              </w:rPr>
              <w:t>。</w:t>
            </w:r>
          </w:p>
        </w:tc>
        <w:tc>
          <w:tcPr>
            <w:tcW w:w="3793" w:type="dxa"/>
            <w:vAlign w:val="center"/>
          </w:tcPr>
          <w:p w14:paraId="516214AC" w14:textId="77777777" w:rsidR="000E058F" w:rsidRDefault="009755FF">
            <w:pPr>
              <w:widowControl/>
              <w:spacing w:line="50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hint="eastAsia"/>
                <w:color w:val="000000"/>
                <w:kern w:val="0"/>
                <w:sz w:val="28"/>
                <w:szCs w:val="28"/>
                <w:lang w:bidi="ar"/>
              </w:rPr>
              <w:t>聚集性疫情是指一周内在同一学校、居民小区、工厂、自然村、医疗机构等范围内发现</w:t>
            </w:r>
            <w:r>
              <w:rPr>
                <w:rFonts w:asciiTheme="minorEastAsia" w:hAnsiTheme="minorEastAsia" w:cstheme="minorEastAsia" w:hint="eastAsia"/>
                <w:color w:val="000000"/>
                <w:kern w:val="0"/>
                <w:sz w:val="28"/>
                <w:szCs w:val="28"/>
                <w:lang w:bidi="ar"/>
              </w:rPr>
              <w:t xml:space="preserve">2 </w:t>
            </w:r>
            <w:r>
              <w:rPr>
                <w:rFonts w:asciiTheme="minorEastAsia" w:hAnsiTheme="minorEastAsia" w:cstheme="minorEastAsia" w:hint="eastAsia"/>
                <w:color w:val="000000"/>
                <w:kern w:val="0"/>
                <w:sz w:val="28"/>
                <w:szCs w:val="28"/>
                <w:lang w:bidi="ar"/>
              </w:rPr>
              <w:t>例及以上病例和无症状感染者。</w:t>
            </w:r>
          </w:p>
        </w:tc>
      </w:tr>
    </w:tbl>
    <w:p w14:paraId="70E05338" w14:textId="77777777" w:rsidR="000E058F" w:rsidRDefault="000E058F">
      <w:pPr>
        <w:spacing w:line="400" w:lineRule="exact"/>
        <w:ind w:firstLineChars="100" w:firstLine="320"/>
        <w:rPr>
          <w:rFonts w:ascii="Times New Roman" w:eastAsia="黑体" w:hAnsi="Times New Roman" w:cs="Times New Roman"/>
          <w:sz w:val="32"/>
          <w:szCs w:val="32"/>
        </w:rPr>
      </w:pPr>
    </w:p>
    <w:p w14:paraId="68E577B0" w14:textId="77777777" w:rsidR="000E058F" w:rsidRDefault="009755FF">
      <w:pPr>
        <w:pStyle w:val="a5"/>
        <w:widowControl/>
        <w:spacing w:beforeAutospacing="0" w:afterAutospacing="0" w:line="48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t>二、</w:t>
      </w:r>
      <w:r>
        <w:rPr>
          <w:rFonts w:ascii="Times New Roman" w:eastAsia="黑体" w:hAnsi="Times New Roman"/>
          <w:kern w:val="2"/>
          <w:sz w:val="32"/>
          <w:szCs w:val="32"/>
        </w:rPr>
        <w:t>奥密克</w:t>
      </w:r>
      <w:proofErr w:type="gramStart"/>
      <w:r>
        <w:rPr>
          <w:rFonts w:ascii="Times New Roman" w:eastAsia="黑体" w:hAnsi="Times New Roman"/>
          <w:kern w:val="2"/>
          <w:sz w:val="32"/>
          <w:szCs w:val="32"/>
        </w:rPr>
        <w:t>戎</w:t>
      </w:r>
      <w:proofErr w:type="gramEnd"/>
      <w:r>
        <w:rPr>
          <w:rFonts w:ascii="Times New Roman" w:eastAsia="黑体" w:hAnsi="Times New Roman"/>
          <w:kern w:val="2"/>
          <w:sz w:val="32"/>
          <w:szCs w:val="32"/>
        </w:rPr>
        <w:t>变异株流行病学特征</w:t>
      </w:r>
    </w:p>
    <w:p w14:paraId="462D8DF4" w14:textId="77777777" w:rsidR="000E058F" w:rsidRDefault="000E058F">
      <w:pPr>
        <w:spacing w:line="400" w:lineRule="exact"/>
        <w:rPr>
          <w:rFonts w:ascii="Times New Roman" w:eastAsia="黑体" w:hAnsi="Times New Roman" w:cs="Times New Roman"/>
          <w:sz w:val="32"/>
          <w:szCs w:val="32"/>
        </w:rPr>
      </w:pPr>
    </w:p>
    <w:tbl>
      <w:tblPr>
        <w:tblStyle w:val="a6"/>
        <w:tblW w:w="0" w:type="auto"/>
        <w:tblInd w:w="190" w:type="dxa"/>
        <w:tblLook w:val="04A0" w:firstRow="1" w:lastRow="0" w:firstColumn="1" w:lastColumn="0" w:noHBand="0" w:noVBand="1"/>
      </w:tblPr>
      <w:tblGrid>
        <w:gridCol w:w="1476"/>
        <w:gridCol w:w="3420"/>
        <w:gridCol w:w="3749"/>
      </w:tblGrid>
      <w:tr w:rsidR="000E058F" w14:paraId="23AD05CD" w14:textId="77777777">
        <w:trPr>
          <w:trHeight w:val="1196"/>
        </w:trPr>
        <w:tc>
          <w:tcPr>
            <w:tcW w:w="1502" w:type="dxa"/>
            <w:vMerge w:val="restart"/>
            <w:vAlign w:val="center"/>
          </w:tcPr>
          <w:p w14:paraId="5CAB9C83" w14:textId="77777777" w:rsidR="000E058F" w:rsidRDefault="009755FF">
            <w:pPr>
              <w:widowControl/>
              <w:spacing w:line="567"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奥密克</w:t>
            </w:r>
            <w:proofErr w:type="gramStart"/>
            <w:r>
              <w:rPr>
                <w:rFonts w:ascii="Times New Roman" w:eastAsia="宋体" w:hAnsi="Times New Roman" w:cs="Times New Roman"/>
                <w:b/>
                <w:bCs/>
                <w:color w:val="000000"/>
                <w:kern w:val="0"/>
                <w:sz w:val="28"/>
                <w:szCs w:val="28"/>
                <w:lang w:bidi="ar"/>
              </w:rPr>
              <w:t>戎</w:t>
            </w:r>
            <w:proofErr w:type="gramEnd"/>
            <w:r>
              <w:rPr>
                <w:rFonts w:ascii="Times New Roman" w:eastAsia="宋体" w:hAnsi="Times New Roman" w:cs="Times New Roman"/>
                <w:b/>
                <w:bCs/>
                <w:color w:val="000000"/>
                <w:kern w:val="0"/>
                <w:sz w:val="28"/>
                <w:szCs w:val="28"/>
                <w:lang w:bidi="ar"/>
              </w:rPr>
              <w:t>变异株</w:t>
            </w:r>
          </w:p>
          <w:p w14:paraId="3EA02362" w14:textId="77777777" w:rsidR="000E058F" w:rsidRDefault="009755FF">
            <w:pPr>
              <w:widowControl/>
              <w:spacing w:line="567" w:lineRule="exact"/>
              <w:jc w:val="center"/>
              <w:textAlignment w:val="center"/>
              <w:rPr>
                <w:rStyle w:val="font21"/>
                <w:rFonts w:eastAsia="宋体"/>
                <w:sz w:val="28"/>
                <w:szCs w:val="28"/>
                <w:lang w:bidi="ar"/>
              </w:rPr>
            </w:pPr>
            <w:r>
              <w:rPr>
                <w:rFonts w:ascii="Times New Roman" w:eastAsia="宋体" w:hAnsi="Times New Roman" w:cs="Times New Roman"/>
                <w:b/>
                <w:bCs/>
                <w:color w:val="000000"/>
                <w:kern w:val="0"/>
                <w:sz w:val="28"/>
                <w:szCs w:val="28"/>
                <w:lang w:bidi="ar"/>
              </w:rPr>
              <w:t>流行病学特征</w:t>
            </w:r>
          </w:p>
        </w:tc>
        <w:tc>
          <w:tcPr>
            <w:tcW w:w="3491" w:type="dxa"/>
            <w:vAlign w:val="center"/>
          </w:tcPr>
          <w:p w14:paraId="207A3F9E" w14:textId="77777777" w:rsidR="000E058F" w:rsidRDefault="009755FF">
            <w:pPr>
              <w:widowControl/>
              <w:spacing w:line="567" w:lineRule="exact"/>
              <w:jc w:val="center"/>
              <w:textAlignment w:val="center"/>
              <w:rPr>
                <w:rStyle w:val="font21"/>
                <w:rFonts w:eastAsia="宋体"/>
                <w:b/>
                <w:bCs/>
                <w:sz w:val="28"/>
                <w:szCs w:val="28"/>
                <w:lang w:bidi="ar"/>
              </w:rPr>
            </w:pPr>
            <w:r>
              <w:rPr>
                <w:rStyle w:val="font21"/>
                <w:rFonts w:eastAsia="宋体"/>
                <w:b/>
                <w:bCs/>
                <w:sz w:val="28"/>
                <w:szCs w:val="28"/>
                <w:lang w:bidi="ar"/>
              </w:rPr>
              <w:t>第八版</w:t>
            </w:r>
          </w:p>
        </w:tc>
        <w:tc>
          <w:tcPr>
            <w:tcW w:w="3829" w:type="dxa"/>
            <w:vAlign w:val="center"/>
          </w:tcPr>
          <w:p w14:paraId="0CE76226" w14:textId="77777777" w:rsidR="000E058F" w:rsidRDefault="009755FF">
            <w:pPr>
              <w:widowControl/>
              <w:spacing w:line="567" w:lineRule="exact"/>
              <w:jc w:val="center"/>
              <w:textAlignment w:val="center"/>
              <w:rPr>
                <w:rStyle w:val="font21"/>
                <w:rFonts w:eastAsia="宋体"/>
                <w:b/>
                <w:bCs/>
                <w:sz w:val="28"/>
                <w:szCs w:val="28"/>
                <w:lang w:bidi="ar"/>
              </w:rPr>
            </w:pPr>
            <w:r>
              <w:rPr>
                <w:rStyle w:val="font21"/>
                <w:rFonts w:eastAsia="宋体"/>
                <w:b/>
                <w:bCs/>
                <w:sz w:val="28"/>
                <w:szCs w:val="28"/>
                <w:lang w:bidi="ar"/>
              </w:rPr>
              <w:t>第九版</w:t>
            </w:r>
          </w:p>
        </w:tc>
      </w:tr>
      <w:tr w:rsidR="000E058F" w14:paraId="68EFE194" w14:textId="77777777">
        <w:trPr>
          <w:trHeight w:val="3551"/>
        </w:trPr>
        <w:tc>
          <w:tcPr>
            <w:tcW w:w="1502" w:type="dxa"/>
            <w:vMerge/>
            <w:vAlign w:val="center"/>
          </w:tcPr>
          <w:p w14:paraId="3FC45394" w14:textId="77777777" w:rsidR="000E058F" w:rsidRDefault="000E058F">
            <w:pPr>
              <w:widowControl/>
              <w:spacing w:line="567" w:lineRule="exact"/>
              <w:jc w:val="center"/>
              <w:textAlignment w:val="center"/>
              <w:rPr>
                <w:rStyle w:val="font21"/>
                <w:rFonts w:eastAsia="宋体"/>
                <w:sz w:val="28"/>
                <w:szCs w:val="28"/>
                <w:lang w:bidi="ar"/>
              </w:rPr>
            </w:pPr>
          </w:p>
        </w:tc>
        <w:tc>
          <w:tcPr>
            <w:tcW w:w="3491" w:type="dxa"/>
            <w:vAlign w:val="center"/>
          </w:tcPr>
          <w:p w14:paraId="69C720E4" w14:textId="77777777" w:rsidR="000E058F" w:rsidRDefault="009755FF">
            <w:pPr>
              <w:widowControl/>
              <w:spacing w:line="500" w:lineRule="exact"/>
              <w:jc w:val="lef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平均潜伏期为</w:t>
            </w:r>
            <w:r>
              <w:rPr>
                <w:rFonts w:asciiTheme="minorEastAsia" w:hAnsiTheme="minorEastAsia" w:cstheme="minorEastAsia"/>
                <w:color w:val="000000"/>
                <w:kern w:val="0"/>
                <w:sz w:val="28"/>
                <w:szCs w:val="28"/>
                <w:lang w:bidi="ar"/>
              </w:rPr>
              <w:t>1-14</w:t>
            </w:r>
            <w:r>
              <w:rPr>
                <w:rFonts w:asciiTheme="minorEastAsia" w:hAnsiTheme="minorEastAsia" w:cstheme="minorEastAsia"/>
                <w:color w:val="000000"/>
                <w:kern w:val="0"/>
                <w:sz w:val="28"/>
                <w:szCs w:val="28"/>
                <w:lang w:bidi="ar"/>
              </w:rPr>
              <w:t>天，多为</w:t>
            </w:r>
            <w:r>
              <w:rPr>
                <w:rFonts w:asciiTheme="minorEastAsia" w:hAnsiTheme="minorEastAsia" w:cstheme="minorEastAsia"/>
                <w:color w:val="000000"/>
                <w:kern w:val="0"/>
                <w:sz w:val="28"/>
                <w:szCs w:val="28"/>
                <w:lang w:bidi="ar"/>
              </w:rPr>
              <w:t>3-7</w:t>
            </w:r>
            <w:r>
              <w:rPr>
                <w:rFonts w:asciiTheme="minorEastAsia" w:hAnsiTheme="minorEastAsia" w:cstheme="minorEastAsia"/>
                <w:color w:val="000000"/>
                <w:kern w:val="0"/>
                <w:sz w:val="28"/>
                <w:szCs w:val="28"/>
                <w:lang w:bidi="ar"/>
              </w:rPr>
              <w:t>天。</w:t>
            </w:r>
          </w:p>
        </w:tc>
        <w:tc>
          <w:tcPr>
            <w:tcW w:w="3829" w:type="dxa"/>
            <w:vAlign w:val="center"/>
          </w:tcPr>
          <w:p w14:paraId="1745B9A6" w14:textId="77777777" w:rsidR="000E058F" w:rsidRDefault="009755FF">
            <w:pPr>
              <w:widowControl/>
              <w:spacing w:line="500" w:lineRule="exact"/>
              <w:jc w:val="lef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平均潜伏期缩短，多为</w:t>
            </w:r>
            <w:r>
              <w:rPr>
                <w:rFonts w:asciiTheme="minorEastAsia" w:hAnsiTheme="minorEastAsia" w:cstheme="minorEastAsia"/>
                <w:color w:val="000000"/>
                <w:kern w:val="0"/>
                <w:sz w:val="28"/>
                <w:szCs w:val="28"/>
                <w:lang w:bidi="ar"/>
              </w:rPr>
              <w:t>2-4</w:t>
            </w:r>
            <w:r>
              <w:rPr>
                <w:rFonts w:asciiTheme="minorEastAsia" w:hAnsiTheme="minorEastAsia" w:cstheme="minorEastAsia"/>
                <w:color w:val="000000"/>
                <w:kern w:val="0"/>
                <w:sz w:val="28"/>
                <w:szCs w:val="28"/>
                <w:lang w:bidi="ar"/>
              </w:rPr>
              <w:t>天；传播能力更强，传播速度更快，感染剂量更低，致病力减弱，具有更强的免疫逃逸能力，现有疫苗对预防该变异株所致的</w:t>
            </w:r>
            <w:proofErr w:type="gramStart"/>
            <w:r>
              <w:rPr>
                <w:rFonts w:asciiTheme="minorEastAsia" w:hAnsiTheme="minorEastAsia" w:cstheme="minorEastAsia"/>
                <w:color w:val="000000"/>
                <w:kern w:val="0"/>
                <w:sz w:val="28"/>
                <w:szCs w:val="28"/>
                <w:lang w:bidi="ar"/>
              </w:rPr>
              <w:t>的</w:t>
            </w:r>
            <w:proofErr w:type="gramEnd"/>
            <w:r>
              <w:rPr>
                <w:rFonts w:asciiTheme="minorEastAsia" w:hAnsiTheme="minorEastAsia" w:cstheme="minorEastAsia"/>
                <w:color w:val="000000"/>
                <w:kern w:val="0"/>
                <w:sz w:val="28"/>
                <w:szCs w:val="28"/>
                <w:lang w:bidi="ar"/>
              </w:rPr>
              <w:t>重症和死亡仍有效。</w:t>
            </w:r>
          </w:p>
        </w:tc>
      </w:tr>
    </w:tbl>
    <w:p w14:paraId="55ADE785" w14:textId="77777777" w:rsidR="000E058F" w:rsidRDefault="000E058F">
      <w:pPr>
        <w:spacing w:line="400" w:lineRule="exact"/>
        <w:rPr>
          <w:rFonts w:ascii="Times New Roman" w:eastAsia="黑体" w:hAnsi="Times New Roman" w:cs="Times New Roman"/>
          <w:sz w:val="32"/>
          <w:szCs w:val="32"/>
        </w:rPr>
      </w:pPr>
    </w:p>
    <w:p w14:paraId="0B97C3B8" w14:textId="77777777" w:rsidR="000E058F" w:rsidRDefault="009755FF">
      <w:pPr>
        <w:pStyle w:val="a5"/>
        <w:widowControl/>
        <w:spacing w:beforeAutospacing="0" w:afterAutospacing="0" w:line="48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lastRenderedPageBreak/>
        <w:t>三、</w:t>
      </w:r>
      <w:r>
        <w:rPr>
          <w:rFonts w:ascii="Times New Roman" w:eastAsia="黑体" w:hAnsi="Times New Roman"/>
          <w:kern w:val="2"/>
          <w:sz w:val="32"/>
          <w:szCs w:val="32"/>
        </w:rPr>
        <w:t>科学规定疫情处置方法</w:t>
      </w:r>
    </w:p>
    <w:tbl>
      <w:tblPr>
        <w:tblStyle w:val="a6"/>
        <w:tblpPr w:leftFromText="180" w:rightFromText="180" w:vertAnchor="text" w:horzAnchor="page" w:tblpXSpec="center" w:tblpY="252"/>
        <w:tblOverlap w:val="never"/>
        <w:tblW w:w="0" w:type="auto"/>
        <w:jc w:val="center"/>
        <w:tblLook w:val="04A0" w:firstRow="1" w:lastRow="0" w:firstColumn="1" w:lastColumn="0" w:noHBand="0" w:noVBand="1"/>
      </w:tblPr>
      <w:tblGrid>
        <w:gridCol w:w="2796"/>
        <w:gridCol w:w="5903"/>
      </w:tblGrid>
      <w:tr w:rsidR="000E058F" w14:paraId="76F43831" w14:textId="77777777">
        <w:trPr>
          <w:trHeight w:val="1946"/>
          <w:jc w:val="center"/>
        </w:trPr>
        <w:tc>
          <w:tcPr>
            <w:tcW w:w="2796" w:type="dxa"/>
            <w:vAlign w:val="center"/>
          </w:tcPr>
          <w:p w14:paraId="583C1A9F" w14:textId="77777777" w:rsidR="000E058F" w:rsidRDefault="009755FF">
            <w:pPr>
              <w:pStyle w:val="a5"/>
              <w:widowControl/>
              <w:spacing w:beforeAutospacing="0" w:afterAutospacing="0" w:line="567"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无症状感染者集中隔离管理期</w:t>
            </w:r>
          </w:p>
        </w:tc>
        <w:tc>
          <w:tcPr>
            <w:tcW w:w="5903" w:type="dxa"/>
            <w:vAlign w:val="center"/>
          </w:tcPr>
          <w:p w14:paraId="14D6291F" w14:textId="77777777" w:rsidR="000E058F" w:rsidRDefault="009755FF">
            <w:pPr>
              <w:pStyle w:val="a5"/>
              <w:widowControl/>
              <w:spacing w:beforeAutospacing="0" w:afterAutospacing="0" w:line="567" w:lineRule="exact"/>
              <w:rPr>
                <w:rFonts w:asciiTheme="minorEastAsia" w:hAnsiTheme="minorEastAsia" w:cstheme="minorEastAsia"/>
                <w:color w:val="000000"/>
                <w:sz w:val="28"/>
                <w:szCs w:val="28"/>
              </w:rPr>
            </w:pPr>
            <w:r>
              <w:rPr>
                <w:rFonts w:asciiTheme="minorEastAsia" w:hAnsiTheme="minorEastAsia" w:cstheme="minorEastAsia"/>
                <w:color w:val="000000"/>
                <w:sz w:val="28"/>
                <w:szCs w:val="28"/>
              </w:rPr>
              <w:t>14</w:t>
            </w:r>
            <w:r>
              <w:rPr>
                <w:rFonts w:asciiTheme="minorEastAsia" w:hAnsiTheme="minorEastAsia" w:cstheme="minorEastAsia"/>
                <w:color w:val="000000"/>
                <w:sz w:val="28"/>
                <w:szCs w:val="28"/>
              </w:rPr>
              <w:t>天修订为</w:t>
            </w:r>
            <w:r>
              <w:rPr>
                <w:rFonts w:asciiTheme="minorEastAsia" w:hAnsiTheme="minorEastAsia" w:cstheme="minorEastAsia"/>
                <w:color w:val="000000"/>
                <w:sz w:val="28"/>
                <w:szCs w:val="28"/>
              </w:rPr>
              <w:t>7</w:t>
            </w:r>
            <w:r>
              <w:rPr>
                <w:rFonts w:asciiTheme="minorEastAsia" w:hAnsiTheme="minorEastAsia" w:cstheme="minorEastAsia"/>
                <w:color w:val="000000"/>
                <w:sz w:val="28"/>
                <w:szCs w:val="28"/>
              </w:rPr>
              <w:t>天。</w:t>
            </w:r>
          </w:p>
        </w:tc>
      </w:tr>
      <w:tr w:rsidR="000E058F" w14:paraId="43E5E949" w14:textId="77777777">
        <w:trPr>
          <w:trHeight w:val="3554"/>
          <w:jc w:val="center"/>
        </w:trPr>
        <w:tc>
          <w:tcPr>
            <w:tcW w:w="2796" w:type="dxa"/>
            <w:vAlign w:val="center"/>
          </w:tcPr>
          <w:p w14:paraId="121C96E8" w14:textId="77777777" w:rsidR="000E058F" w:rsidRDefault="009755FF">
            <w:pPr>
              <w:pStyle w:val="a5"/>
              <w:widowControl/>
              <w:spacing w:beforeAutospacing="0" w:afterAutospacing="0" w:line="567"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出院（舱）后核酸检测阳性人员出现症状体征</w:t>
            </w:r>
          </w:p>
        </w:tc>
        <w:tc>
          <w:tcPr>
            <w:tcW w:w="5903" w:type="dxa"/>
            <w:vAlign w:val="center"/>
          </w:tcPr>
          <w:p w14:paraId="6DD5F35B" w14:textId="77777777" w:rsidR="000E058F" w:rsidRDefault="009755FF">
            <w:pPr>
              <w:pStyle w:val="a5"/>
              <w:widowControl/>
              <w:spacing w:beforeAutospacing="0" w:afterAutospacing="0" w:line="567" w:lineRule="exact"/>
              <w:rPr>
                <w:rFonts w:asciiTheme="minorEastAsia" w:hAnsiTheme="minorEastAsia" w:cstheme="minorEastAsia"/>
                <w:color w:val="000000"/>
                <w:sz w:val="28"/>
                <w:szCs w:val="28"/>
              </w:rPr>
            </w:pPr>
            <w:r>
              <w:rPr>
                <w:rFonts w:asciiTheme="minorEastAsia" w:hAnsiTheme="minorEastAsia" w:cstheme="minorEastAsia"/>
                <w:color w:val="000000"/>
                <w:sz w:val="28"/>
                <w:szCs w:val="28"/>
              </w:rPr>
              <w:t>立即转运至定点医院进行隔离治疗。</w:t>
            </w:r>
            <w:r>
              <w:rPr>
                <w:rFonts w:asciiTheme="minorEastAsia" w:hAnsiTheme="minorEastAsia" w:cstheme="minorEastAsia"/>
                <w:color w:val="000000"/>
                <w:sz w:val="28"/>
                <w:szCs w:val="28"/>
              </w:rPr>
              <w:t>Ct</w:t>
            </w:r>
            <w:r>
              <w:rPr>
                <w:rFonts w:asciiTheme="minorEastAsia" w:hAnsiTheme="minorEastAsia" w:cstheme="minorEastAsia"/>
                <w:color w:val="000000"/>
                <w:sz w:val="28"/>
                <w:szCs w:val="28"/>
              </w:rPr>
              <w:t>值</w:t>
            </w:r>
            <w:r>
              <w:rPr>
                <w:rFonts w:asciiTheme="minorEastAsia" w:hAnsiTheme="minorEastAsia" w:cstheme="minorEastAsia"/>
                <w:color w:val="000000"/>
                <w:sz w:val="28"/>
                <w:szCs w:val="28"/>
              </w:rPr>
              <w:t>≥35</w:t>
            </w:r>
            <w:r>
              <w:rPr>
                <w:rFonts w:asciiTheme="minorEastAsia" w:hAnsiTheme="minorEastAsia" w:cstheme="minorEastAsia"/>
                <w:color w:val="000000"/>
                <w:sz w:val="28"/>
                <w:szCs w:val="28"/>
              </w:rPr>
              <w:t>，无需对密接进行追踪和管控。</w:t>
            </w:r>
            <w:r>
              <w:rPr>
                <w:rFonts w:asciiTheme="minorEastAsia" w:hAnsiTheme="minorEastAsia" w:cstheme="minorEastAsia"/>
                <w:color w:val="000000"/>
                <w:sz w:val="28"/>
                <w:szCs w:val="28"/>
              </w:rPr>
              <w:t>Ct</w:t>
            </w:r>
            <w:r>
              <w:rPr>
                <w:rFonts w:asciiTheme="minorEastAsia" w:hAnsiTheme="minorEastAsia" w:cstheme="minorEastAsia"/>
                <w:color w:val="000000"/>
                <w:sz w:val="28"/>
                <w:szCs w:val="28"/>
              </w:rPr>
              <w:t>值＜</w:t>
            </w:r>
            <w:r>
              <w:rPr>
                <w:rFonts w:asciiTheme="minorEastAsia" w:hAnsiTheme="minorEastAsia" w:cstheme="minorEastAsia"/>
                <w:color w:val="000000"/>
                <w:sz w:val="28"/>
                <w:szCs w:val="28"/>
              </w:rPr>
              <w:t>35</w:t>
            </w:r>
            <w:r>
              <w:rPr>
                <w:rFonts w:asciiTheme="minorEastAsia" w:hAnsiTheme="minorEastAsia" w:cstheme="minorEastAsia"/>
                <w:color w:val="000000"/>
                <w:sz w:val="28"/>
                <w:szCs w:val="28"/>
              </w:rPr>
              <w:t>，立即开展疫情处置，对其共同居住、共同工作等接触频繁的人员判为密接进行管控，不判定密接的密接。</w:t>
            </w:r>
          </w:p>
        </w:tc>
      </w:tr>
      <w:tr w:rsidR="000E058F" w14:paraId="3394E80E" w14:textId="77777777">
        <w:trPr>
          <w:trHeight w:val="5153"/>
          <w:jc w:val="center"/>
        </w:trPr>
        <w:tc>
          <w:tcPr>
            <w:tcW w:w="2796" w:type="dxa"/>
            <w:vAlign w:val="center"/>
          </w:tcPr>
          <w:p w14:paraId="66337FD7" w14:textId="77777777" w:rsidR="000E058F" w:rsidRDefault="009755FF">
            <w:pPr>
              <w:pStyle w:val="a5"/>
              <w:widowControl/>
              <w:spacing w:beforeAutospacing="0" w:afterAutospacing="0" w:line="567"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出院（舱）后核酸检测阳性人员未出现症状体征</w:t>
            </w:r>
          </w:p>
        </w:tc>
        <w:tc>
          <w:tcPr>
            <w:tcW w:w="5903" w:type="dxa"/>
            <w:vAlign w:val="center"/>
          </w:tcPr>
          <w:p w14:paraId="60BC51A4" w14:textId="77777777" w:rsidR="000E058F" w:rsidRDefault="009755FF">
            <w:pPr>
              <w:pStyle w:val="a5"/>
              <w:widowControl/>
              <w:spacing w:beforeAutospacing="0" w:afterAutospacing="0" w:line="567" w:lineRule="exact"/>
              <w:rPr>
                <w:rFonts w:asciiTheme="minorEastAsia" w:hAnsiTheme="minorEastAsia" w:cstheme="minorEastAsia"/>
                <w:color w:val="000000"/>
                <w:sz w:val="28"/>
                <w:szCs w:val="28"/>
              </w:rPr>
            </w:pPr>
            <w:r>
              <w:rPr>
                <w:rFonts w:asciiTheme="minorEastAsia" w:hAnsiTheme="minorEastAsia" w:cstheme="minorEastAsia"/>
                <w:color w:val="000000"/>
                <w:sz w:val="28"/>
                <w:szCs w:val="28"/>
              </w:rPr>
              <w:t>Ct</w:t>
            </w:r>
            <w:r>
              <w:rPr>
                <w:rFonts w:asciiTheme="minorEastAsia" w:hAnsiTheme="minorEastAsia" w:cstheme="minorEastAsia"/>
                <w:color w:val="000000"/>
                <w:sz w:val="28"/>
                <w:szCs w:val="28"/>
              </w:rPr>
              <w:t>值</w:t>
            </w:r>
            <w:r>
              <w:rPr>
                <w:rFonts w:asciiTheme="minorEastAsia" w:hAnsiTheme="minorEastAsia" w:cstheme="minorEastAsia"/>
                <w:color w:val="000000"/>
                <w:sz w:val="28"/>
                <w:szCs w:val="28"/>
              </w:rPr>
              <w:t>≥35</w:t>
            </w:r>
            <w:r>
              <w:rPr>
                <w:rFonts w:asciiTheme="minorEastAsia" w:hAnsiTheme="minorEastAsia" w:cstheme="minorEastAsia"/>
                <w:color w:val="000000"/>
                <w:sz w:val="28"/>
                <w:szCs w:val="28"/>
              </w:rPr>
              <w:t>，无需管理，不判定密接。</w:t>
            </w:r>
            <w:r>
              <w:rPr>
                <w:rFonts w:asciiTheme="minorEastAsia" w:hAnsiTheme="minorEastAsia" w:cstheme="minorEastAsia"/>
                <w:color w:val="000000"/>
                <w:sz w:val="28"/>
                <w:szCs w:val="28"/>
              </w:rPr>
              <w:t>Ct</w:t>
            </w:r>
            <w:r>
              <w:rPr>
                <w:rFonts w:asciiTheme="minorEastAsia" w:hAnsiTheme="minorEastAsia" w:cstheme="minorEastAsia"/>
                <w:color w:val="000000"/>
                <w:sz w:val="28"/>
                <w:szCs w:val="28"/>
              </w:rPr>
              <w:t>值＜</w:t>
            </w:r>
            <w:r>
              <w:rPr>
                <w:rFonts w:asciiTheme="minorEastAsia" w:hAnsiTheme="minorEastAsia" w:cstheme="minorEastAsia"/>
                <w:color w:val="000000"/>
                <w:sz w:val="28"/>
                <w:szCs w:val="28"/>
              </w:rPr>
              <w:t>35</w:t>
            </w:r>
            <w:r>
              <w:rPr>
                <w:rFonts w:asciiTheme="minorEastAsia" w:hAnsiTheme="minorEastAsia" w:cstheme="minorEastAsia"/>
                <w:color w:val="000000"/>
                <w:sz w:val="28"/>
                <w:szCs w:val="28"/>
              </w:rPr>
              <w:t>，</w:t>
            </w:r>
            <w:proofErr w:type="gramStart"/>
            <w:r>
              <w:rPr>
                <w:rFonts w:asciiTheme="minorEastAsia" w:hAnsiTheme="minorEastAsia" w:cstheme="minorEastAsia"/>
                <w:color w:val="000000"/>
                <w:sz w:val="28"/>
                <w:szCs w:val="28"/>
              </w:rPr>
              <w:t>需快速</w:t>
            </w:r>
            <w:proofErr w:type="gramEnd"/>
            <w:r>
              <w:rPr>
                <w:rFonts w:asciiTheme="minorEastAsia" w:hAnsiTheme="minorEastAsia" w:cstheme="minorEastAsia"/>
                <w:color w:val="000000"/>
                <w:sz w:val="28"/>
                <w:szCs w:val="28"/>
              </w:rPr>
              <w:t>综合评估其是否具有传播风险：如有传播风险，则按感染者管理，对其共同居住、共同工作等接触频繁的人员判定为密接进行管控，不判定密接的密接；如无传播风险，则无需进行管理，且不判定密接。</w:t>
            </w:r>
          </w:p>
        </w:tc>
      </w:tr>
    </w:tbl>
    <w:p w14:paraId="72973501" w14:textId="77777777" w:rsidR="000E058F" w:rsidRDefault="000E058F">
      <w:pPr>
        <w:spacing w:line="400" w:lineRule="exact"/>
        <w:rPr>
          <w:rFonts w:ascii="Times New Roman" w:eastAsia="黑体" w:hAnsi="Times New Roman" w:cs="Times New Roman"/>
          <w:sz w:val="32"/>
          <w:szCs w:val="32"/>
        </w:rPr>
      </w:pPr>
    </w:p>
    <w:p w14:paraId="2DD951FD" w14:textId="77777777" w:rsidR="000E058F" w:rsidRDefault="000E058F">
      <w:pPr>
        <w:spacing w:line="400" w:lineRule="exact"/>
        <w:ind w:firstLineChars="200" w:firstLine="640"/>
        <w:rPr>
          <w:rFonts w:ascii="Times New Roman" w:eastAsia="黑体" w:hAnsi="Times New Roman" w:cs="Times New Roman"/>
          <w:sz w:val="32"/>
          <w:szCs w:val="32"/>
        </w:rPr>
      </w:pPr>
    </w:p>
    <w:p w14:paraId="052B1CAC" w14:textId="77777777" w:rsidR="000E058F" w:rsidRDefault="000E058F">
      <w:pPr>
        <w:spacing w:line="400" w:lineRule="exact"/>
        <w:ind w:firstLineChars="200" w:firstLine="640"/>
        <w:rPr>
          <w:rFonts w:ascii="Times New Roman" w:eastAsia="黑体" w:hAnsi="Times New Roman" w:cs="Times New Roman"/>
          <w:sz w:val="32"/>
          <w:szCs w:val="32"/>
        </w:rPr>
      </w:pPr>
    </w:p>
    <w:p w14:paraId="61F7AA14" w14:textId="77777777" w:rsidR="000E058F" w:rsidRDefault="009755FF">
      <w:pPr>
        <w:pStyle w:val="a5"/>
        <w:widowControl/>
        <w:spacing w:beforeAutospacing="0" w:afterAutospacing="0" w:line="40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lastRenderedPageBreak/>
        <w:t>四</w:t>
      </w:r>
      <w:r>
        <w:rPr>
          <w:rFonts w:ascii="Times New Roman" w:eastAsia="黑体" w:hAnsi="Times New Roman"/>
          <w:kern w:val="2"/>
          <w:sz w:val="32"/>
          <w:szCs w:val="32"/>
        </w:rPr>
        <w:t>、</w:t>
      </w:r>
      <w:r>
        <w:rPr>
          <w:rFonts w:ascii="Times New Roman" w:eastAsia="黑体" w:hAnsi="Times New Roman" w:hint="eastAsia"/>
          <w:kern w:val="2"/>
          <w:sz w:val="32"/>
          <w:szCs w:val="32"/>
        </w:rPr>
        <w:t>优化</w:t>
      </w:r>
      <w:r>
        <w:rPr>
          <w:rFonts w:ascii="Times New Roman" w:eastAsia="黑体" w:hAnsi="Times New Roman"/>
          <w:kern w:val="2"/>
          <w:sz w:val="32"/>
          <w:szCs w:val="32"/>
        </w:rPr>
        <w:t>风险人员隔离管理期限、方式调整</w:t>
      </w:r>
    </w:p>
    <w:tbl>
      <w:tblPr>
        <w:tblStyle w:val="a6"/>
        <w:tblpPr w:leftFromText="180" w:rightFromText="180" w:vertAnchor="text" w:horzAnchor="page" w:tblpXSpec="center" w:tblpY="454"/>
        <w:tblOverlap w:val="never"/>
        <w:tblW w:w="8898" w:type="dxa"/>
        <w:jc w:val="center"/>
        <w:tblLook w:val="04A0" w:firstRow="1" w:lastRow="0" w:firstColumn="1" w:lastColumn="0" w:noHBand="0" w:noVBand="1"/>
      </w:tblPr>
      <w:tblGrid>
        <w:gridCol w:w="1767"/>
        <w:gridCol w:w="1846"/>
        <w:gridCol w:w="1639"/>
        <w:gridCol w:w="1896"/>
        <w:gridCol w:w="1750"/>
      </w:tblGrid>
      <w:tr w:rsidR="000E058F" w14:paraId="75970BD3" w14:textId="77777777">
        <w:trPr>
          <w:trHeight w:val="713"/>
          <w:jc w:val="center"/>
        </w:trPr>
        <w:tc>
          <w:tcPr>
            <w:tcW w:w="1767" w:type="dxa"/>
          </w:tcPr>
          <w:p w14:paraId="7544B8EC" w14:textId="77777777" w:rsidR="000E058F" w:rsidRDefault="000E058F">
            <w:pPr>
              <w:spacing w:line="400" w:lineRule="exact"/>
              <w:rPr>
                <w:rFonts w:ascii="Times New Roman" w:eastAsia="黑体" w:hAnsi="Times New Roman" w:cs="Times New Roman"/>
                <w:b/>
                <w:bCs/>
                <w:sz w:val="28"/>
                <w:szCs w:val="28"/>
              </w:rPr>
            </w:pPr>
          </w:p>
        </w:tc>
        <w:tc>
          <w:tcPr>
            <w:tcW w:w="3485" w:type="dxa"/>
            <w:gridSpan w:val="2"/>
            <w:vAlign w:val="center"/>
          </w:tcPr>
          <w:p w14:paraId="68773902" w14:textId="77777777" w:rsidR="000E058F" w:rsidRDefault="009755FF">
            <w:pPr>
              <w:widowControl/>
              <w:spacing w:line="400" w:lineRule="exact"/>
              <w:jc w:val="center"/>
              <w:textAlignment w:val="center"/>
              <w:rPr>
                <w:rStyle w:val="font21"/>
                <w:rFonts w:eastAsia="宋体"/>
                <w:b/>
                <w:bCs/>
                <w:sz w:val="28"/>
                <w:szCs w:val="28"/>
                <w:lang w:bidi="ar"/>
              </w:rPr>
            </w:pPr>
            <w:r>
              <w:rPr>
                <w:rStyle w:val="font21"/>
                <w:rFonts w:eastAsia="宋体"/>
                <w:b/>
                <w:bCs/>
                <w:sz w:val="28"/>
                <w:szCs w:val="28"/>
                <w:lang w:bidi="ar"/>
              </w:rPr>
              <w:t>第八版</w:t>
            </w:r>
          </w:p>
        </w:tc>
        <w:tc>
          <w:tcPr>
            <w:tcW w:w="3646" w:type="dxa"/>
            <w:gridSpan w:val="2"/>
            <w:vAlign w:val="center"/>
          </w:tcPr>
          <w:p w14:paraId="40D2E48F" w14:textId="77777777" w:rsidR="000E058F" w:rsidRDefault="009755FF">
            <w:pPr>
              <w:widowControl/>
              <w:spacing w:line="400" w:lineRule="exact"/>
              <w:jc w:val="center"/>
              <w:textAlignment w:val="center"/>
              <w:rPr>
                <w:rStyle w:val="font21"/>
                <w:rFonts w:eastAsia="宋体"/>
                <w:b/>
                <w:bCs/>
                <w:sz w:val="28"/>
                <w:szCs w:val="28"/>
                <w:lang w:bidi="ar"/>
              </w:rPr>
            </w:pPr>
            <w:r>
              <w:rPr>
                <w:rStyle w:val="font21"/>
                <w:rFonts w:eastAsia="宋体"/>
                <w:b/>
                <w:bCs/>
                <w:sz w:val="28"/>
                <w:szCs w:val="28"/>
                <w:lang w:bidi="ar"/>
              </w:rPr>
              <w:t>第九版</w:t>
            </w:r>
          </w:p>
        </w:tc>
      </w:tr>
      <w:tr w:rsidR="000E058F" w14:paraId="36893BAE" w14:textId="77777777">
        <w:trPr>
          <w:trHeight w:val="1233"/>
          <w:jc w:val="center"/>
        </w:trPr>
        <w:tc>
          <w:tcPr>
            <w:tcW w:w="1767" w:type="dxa"/>
            <w:vAlign w:val="center"/>
          </w:tcPr>
          <w:p w14:paraId="3EADA19A"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风险人群</w:t>
            </w:r>
          </w:p>
        </w:tc>
        <w:tc>
          <w:tcPr>
            <w:tcW w:w="1846" w:type="dxa"/>
            <w:vAlign w:val="center"/>
          </w:tcPr>
          <w:p w14:paraId="261D65D7" w14:textId="77777777" w:rsidR="000E058F" w:rsidRDefault="009755FF">
            <w:pPr>
              <w:widowControl/>
              <w:spacing w:line="420" w:lineRule="exact"/>
              <w:jc w:val="center"/>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密切接触者、</w:t>
            </w:r>
          </w:p>
          <w:p w14:paraId="50D8BB3A" w14:textId="77777777" w:rsidR="000E058F" w:rsidRDefault="009755FF">
            <w:pPr>
              <w:widowControl/>
              <w:spacing w:line="420" w:lineRule="exact"/>
              <w:ind w:firstLineChars="100" w:firstLine="281"/>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入境人员</w:t>
            </w:r>
          </w:p>
        </w:tc>
        <w:tc>
          <w:tcPr>
            <w:tcW w:w="1639" w:type="dxa"/>
            <w:vAlign w:val="center"/>
          </w:tcPr>
          <w:p w14:paraId="25937CE9" w14:textId="77777777" w:rsidR="000E058F" w:rsidRDefault="009755FF">
            <w:pPr>
              <w:widowControl/>
              <w:spacing w:line="420" w:lineRule="exact"/>
              <w:jc w:val="center"/>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密接的密接</w:t>
            </w:r>
          </w:p>
        </w:tc>
        <w:tc>
          <w:tcPr>
            <w:tcW w:w="1896" w:type="dxa"/>
            <w:vAlign w:val="center"/>
          </w:tcPr>
          <w:p w14:paraId="262BAC25" w14:textId="77777777" w:rsidR="000E058F" w:rsidRDefault="009755FF">
            <w:pPr>
              <w:widowControl/>
              <w:spacing w:line="420" w:lineRule="exact"/>
              <w:jc w:val="center"/>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密切接触者、</w:t>
            </w:r>
          </w:p>
          <w:p w14:paraId="7477D570" w14:textId="77777777" w:rsidR="000E058F" w:rsidRDefault="009755FF">
            <w:pPr>
              <w:widowControl/>
              <w:spacing w:line="420" w:lineRule="exact"/>
              <w:ind w:firstLineChars="100" w:firstLine="281"/>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入境人员</w:t>
            </w:r>
          </w:p>
        </w:tc>
        <w:tc>
          <w:tcPr>
            <w:tcW w:w="1750" w:type="dxa"/>
            <w:vAlign w:val="center"/>
          </w:tcPr>
          <w:p w14:paraId="34442D43" w14:textId="77777777" w:rsidR="000E058F" w:rsidRDefault="009755FF">
            <w:pPr>
              <w:widowControl/>
              <w:spacing w:line="420" w:lineRule="exact"/>
              <w:jc w:val="center"/>
              <w:textAlignment w:val="center"/>
              <w:rPr>
                <w:rFonts w:asciiTheme="minorEastAsia" w:hAnsiTheme="minorEastAsia" w:cstheme="minorEastAsia"/>
                <w:b/>
                <w:bCs/>
                <w:color w:val="000000"/>
                <w:kern w:val="0"/>
                <w:sz w:val="28"/>
                <w:szCs w:val="28"/>
                <w:lang w:bidi="ar"/>
              </w:rPr>
            </w:pPr>
            <w:r>
              <w:rPr>
                <w:rFonts w:asciiTheme="minorEastAsia" w:hAnsiTheme="minorEastAsia" w:cstheme="minorEastAsia"/>
                <w:b/>
                <w:bCs/>
                <w:color w:val="000000"/>
                <w:kern w:val="0"/>
                <w:sz w:val="28"/>
                <w:szCs w:val="28"/>
                <w:lang w:bidi="ar"/>
              </w:rPr>
              <w:t>密接的密接</w:t>
            </w:r>
          </w:p>
        </w:tc>
      </w:tr>
      <w:tr w:rsidR="000E058F" w14:paraId="33204B9C" w14:textId="77777777">
        <w:trPr>
          <w:trHeight w:val="1835"/>
          <w:jc w:val="center"/>
        </w:trPr>
        <w:tc>
          <w:tcPr>
            <w:tcW w:w="1767" w:type="dxa"/>
            <w:vAlign w:val="center"/>
          </w:tcPr>
          <w:p w14:paraId="49C361F8"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隔离管控</w:t>
            </w:r>
          </w:p>
          <w:p w14:paraId="6792462D"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时间</w:t>
            </w:r>
          </w:p>
        </w:tc>
        <w:tc>
          <w:tcPr>
            <w:tcW w:w="1846" w:type="dxa"/>
            <w:vAlign w:val="center"/>
          </w:tcPr>
          <w:p w14:paraId="719B1971"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14</w:t>
            </w:r>
            <w:r>
              <w:rPr>
                <w:rFonts w:asciiTheme="minorEastAsia" w:hAnsiTheme="minorEastAsia" w:cstheme="minorEastAsia"/>
                <w:color w:val="000000"/>
                <w:kern w:val="0"/>
                <w:sz w:val="28"/>
                <w:szCs w:val="28"/>
                <w:lang w:bidi="ar"/>
              </w:rPr>
              <w:t>天集中隔离医学观察</w:t>
            </w: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天居家健康监测</w:t>
            </w:r>
          </w:p>
        </w:tc>
        <w:tc>
          <w:tcPr>
            <w:tcW w:w="1639" w:type="dxa"/>
            <w:vAlign w:val="center"/>
          </w:tcPr>
          <w:p w14:paraId="662BEFDF"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天集中隔离医学观察</w:t>
            </w:r>
          </w:p>
        </w:tc>
        <w:tc>
          <w:tcPr>
            <w:tcW w:w="1896" w:type="dxa"/>
            <w:vAlign w:val="center"/>
          </w:tcPr>
          <w:p w14:paraId="3E9E2689"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天集中隔离医学观察</w:t>
            </w:r>
            <w:r>
              <w:rPr>
                <w:rFonts w:asciiTheme="minorEastAsia" w:hAnsiTheme="minorEastAsia" w:cstheme="minorEastAsia"/>
                <w:color w:val="000000"/>
                <w:kern w:val="0"/>
                <w:sz w:val="28"/>
                <w:szCs w:val="28"/>
                <w:lang w:bidi="ar"/>
              </w:rPr>
              <w:t>+3</w:t>
            </w:r>
            <w:r>
              <w:rPr>
                <w:rFonts w:asciiTheme="minorEastAsia" w:hAnsiTheme="minorEastAsia" w:cstheme="minorEastAsia"/>
                <w:color w:val="000000"/>
                <w:kern w:val="0"/>
                <w:sz w:val="28"/>
                <w:szCs w:val="28"/>
                <w:lang w:bidi="ar"/>
              </w:rPr>
              <w:t>天居家健康监测</w:t>
            </w:r>
          </w:p>
        </w:tc>
        <w:tc>
          <w:tcPr>
            <w:tcW w:w="1750" w:type="dxa"/>
            <w:vAlign w:val="center"/>
          </w:tcPr>
          <w:p w14:paraId="54393E85"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天居家隔离医学观察</w:t>
            </w:r>
          </w:p>
        </w:tc>
      </w:tr>
      <w:tr w:rsidR="000E058F" w14:paraId="6DDE09C4" w14:textId="77777777">
        <w:trPr>
          <w:trHeight w:val="3124"/>
          <w:jc w:val="center"/>
        </w:trPr>
        <w:tc>
          <w:tcPr>
            <w:tcW w:w="1767" w:type="dxa"/>
            <w:vAlign w:val="center"/>
          </w:tcPr>
          <w:p w14:paraId="79016A99" w14:textId="77777777" w:rsidR="000E058F" w:rsidRDefault="000E058F">
            <w:pPr>
              <w:widowControl/>
              <w:spacing w:line="500" w:lineRule="exact"/>
              <w:jc w:val="center"/>
              <w:textAlignment w:val="center"/>
              <w:rPr>
                <w:rFonts w:ascii="Times New Roman" w:eastAsia="宋体" w:hAnsi="Times New Roman" w:cs="Times New Roman"/>
                <w:b/>
                <w:bCs/>
                <w:color w:val="000000"/>
                <w:kern w:val="0"/>
                <w:sz w:val="28"/>
                <w:szCs w:val="28"/>
                <w:lang w:bidi="ar"/>
              </w:rPr>
            </w:pPr>
          </w:p>
          <w:p w14:paraId="466361FF"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核酸检测</w:t>
            </w:r>
          </w:p>
          <w:p w14:paraId="6DB35B8F"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措施</w:t>
            </w:r>
          </w:p>
        </w:tc>
        <w:tc>
          <w:tcPr>
            <w:tcW w:w="1846" w:type="dxa"/>
            <w:vAlign w:val="center"/>
          </w:tcPr>
          <w:p w14:paraId="14CC7AAF"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集中隔离医学观察第</w:t>
            </w:r>
            <w:r>
              <w:rPr>
                <w:rFonts w:asciiTheme="minorEastAsia" w:hAnsiTheme="minorEastAsia" w:cstheme="minorEastAsia"/>
                <w:color w:val="000000"/>
                <w:kern w:val="0"/>
                <w:sz w:val="28"/>
                <w:szCs w:val="28"/>
                <w:lang w:bidi="ar"/>
              </w:rPr>
              <w:t>1</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4</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14</w:t>
            </w:r>
            <w:r>
              <w:rPr>
                <w:rFonts w:asciiTheme="minorEastAsia" w:hAnsiTheme="minorEastAsia" w:cstheme="minorEastAsia"/>
                <w:color w:val="000000"/>
                <w:kern w:val="0"/>
                <w:sz w:val="28"/>
                <w:szCs w:val="28"/>
                <w:lang w:bidi="ar"/>
              </w:rPr>
              <w:t>天核酸检测，采集鼻咽拭子</w:t>
            </w:r>
          </w:p>
        </w:tc>
        <w:tc>
          <w:tcPr>
            <w:tcW w:w="1639" w:type="dxa"/>
            <w:vAlign w:val="center"/>
          </w:tcPr>
          <w:p w14:paraId="038B3743"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第</w:t>
            </w:r>
            <w:r>
              <w:rPr>
                <w:rFonts w:asciiTheme="minorEastAsia" w:hAnsiTheme="minorEastAsia" w:cstheme="minorEastAsia"/>
                <w:color w:val="000000"/>
                <w:kern w:val="0"/>
                <w:sz w:val="28"/>
                <w:szCs w:val="28"/>
                <w:lang w:bidi="ar"/>
              </w:rPr>
              <w:t>1</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4</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天核酸检测</w:t>
            </w:r>
          </w:p>
        </w:tc>
        <w:tc>
          <w:tcPr>
            <w:tcW w:w="1896" w:type="dxa"/>
            <w:vAlign w:val="center"/>
          </w:tcPr>
          <w:p w14:paraId="0ED3B4D9"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集中隔离医学观察第</w:t>
            </w:r>
            <w:r>
              <w:rPr>
                <w:rFonts w:asciiTheme="minorEastAsia" w:hAnsiTheme="minorEastAsia" w:cstheme="minorEastAsia"/>
                <w:color w:val="000000"/>
                <w:kern w:val="0"/>
                <w:sz w:val="28"/>
                <w:szCs w:val="28"/>
                <w:lang w:bidi="ar"/>
              </w:rPr>
              <w:t>1</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2</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3</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5</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天和居家健康监测第</w:t>
            </w:r>
            <w:r>
              <w:rPr>
                <w:rFonts w:asciiTheme="minorEastAsia" w:hAnsiTheme="minorEastAsia" w:cstheme="minorEastAsia"/>
                <w:color w:val="000000"/>
                <w:kern w:val="0"/>
                <w:sz w:val="28"/>
                <w:szCs w:val="28"/>
                <w:lang w:bidi="ar"/>
              </w:rPr>
              <w:t>3</w:t>
            </w:r>
            <w:r>
              <w:rPr>
                <w:rFonts w:asciiTheme="minorEastAsia" w:hAnsiTheme="minorEastAsia" w:cstheme="minorEastAsia"/>
                <w:color w:val="000000"/>
                <w:kern w:val="0"/>
                <w:sz w:val="28"/>
                <w:szCs w:val="28"/>
                <w:lang w:bidi="ar"/>
              </w:rPr>
              <w:t>天核酸检测，采集口咽拭子</w:t>
            </w:r>
          </w:p>
        </w:tc>
        <w:tc>
          <w:tcPr>
            <w:tcW w:w="1750" w:type="dxa"/>
            <w:vAlign w:val="center"/>
          </w:tcPr>
          <w:p w14:paraId="6ACDA273" w14:textId="77777777" w:rsidR="000E058F" w:rsidRDefault="009755FF">
            <w:pPr>
              <w:widowControl/>
              <w:spacing w:line="420" w:lineRule="exact"/>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第</w:t>
            </w:r>
            <w:r>
              <w:rPr>
                <w:rFonts w:asciiTheme="minorEastAsia" w:hAnsiTheme="minorEastAsia" w:cstheme="minorEastAsia"/>
                <w:color w:val="000000"/>
                <w:kern w:val="0"/>
                <w:sz w:val="28"/>
                <w:szCs w:val="28"/>
                <w:lang w:bidi="ar"/>
              </w:rPr>
              <w:t>1</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4</w:t>
            </w:r>
            <w:r>
              <w:rPr>
                <w:rFonts w:asciiTheme="minorEastAsia" w:hAnsiTheme="minorEastAsia" w:cstheme="minorEastAsia"/>
                <w:color w:val="000000"/>
                <w:kern w:val="0"/>
                <w:sz w:val="28"/>
                <w:szCs w:val="28"/>
                <w:lang w:bidi="ar"/>
              </w:rPr>
              <w:t>、</w:t>
            </w:r>
            <w:r>
              <w:rPr>
                <w:rFonts w:asciiTheme="minorEastAsia" w:hAnsiTheme="minorEastAsia" w:cstheme="minorEastAsia"/>
                <w:color w:val="000000"/>
                <w:kern w:val="0"/>
                <w:sz w:val="28"/>
                <w:szCs w:val="28"/>
                <w:lang w:bidi="ar"/>
              </w:rPr>
              <w:t>7</w:t>
            </w:r>
            <w:r>
              <w:rPr>
                <w:rFonts w:asciiTheme="minorEastAsia" w:hAnsiTheme="minorEastAsia" w:cstheme="minorEastAsia"/>
                <w:color w:val="000000"/>
                <w:kern w:val="0"/>
                <w:sz w:val="28"/>
                <w:szCs w:val="28"/>
                <w:lang w:bidi="ar"/>
              </w:rPr>
              <w:t>天核酸检测</w:t>
            </w:r>
          </w:p>
        </w:tc>
      </w:tr>
      <w:tr w:rsidR="000E058F" w14:paraId="737CEC26" w14:textId="77777777">
        <w:trPr>
          <w:trHeight w:val="2139"/>
          <w:jc w:val="center"/>
        </w:trPr>
        <w:tc>
          <w:tcPr>
            <w:tcW w:w="1767" w:type="dxa"/>
            <w:vAlign w:val="center"/>
          </w:tcPr>
          <w:p w14:paraId="7A2984EF"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 w:val="28"/>
                <w:szCs w:val="28"/>
                <w:lang w:bidi="ar"/>
              </w:rPr>
            </w:pPr>
            <w:r>
              <w:rPr>
                <w:rFonts w:ascii="Times New Roman" w:eastAsia="宋体" w:hAnsi="Times New Roman" w:cs="Times New Roman"/>
                <w:b/>
                <w:bCs/>
                <w:color w:val="000000"/>
                <w:kern w:val="0"/>
                <w:sz w:val="28"/>
                <w:szCs w:val="28"/>
                <w:lang w:bidi="ar"/>
              </w:rPr>
              <w:t>解除集中隔离医学观察是否要</w:t>
            </w:r>
            <w:proofErr w:type="gramStart"/>
            <w:r>
              <w:rPr>
                <w:rFonts w:ascii="Times New Roman" w:eastAsia="宋体" w:hAnsi="Times New Roman" w:cs="Times New Roman"/>
                <w:b/>
                <w:bCs/>
                <w:color w:val="000000"/>
                <w:kern w:val="0"/>
                <w:sz w:val="28"/>
                <w:szCs w:val="28"/>
                <w:lang w:bidi="ar"/>
              </w:rPr>
              <w:t>双采双检</w:t>
            </w:r>
            <w:proofErr w:type="gramEnd"/>
          </w:p>
        </w:tc>
        <w:tc>
          <w:tcPr>
            <w:tcW w:w="1846" w:type="dxa"/>
            <w:vAlign w:val="center"/>
          </w:tcPr>
          <w:p w14:paraId="25DDB1D9" w14:textId="77777777" w:rsidR="000E058F" w:rsidRDefault="009755FF">
            <w:pPr>
              <w:widowControl/>
              <w:spacing w:line="500" w:lineRule="exact"/>
              <w:jc w:val="center"/>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要求</w:t>
            </w:r>
          </w:p>
        </w:tc>
        <w:tc>
          <w:tcPr>
            <w:tcW w:w="1639" w:type="dxa"/>
            <w:vAlign w:val="center"/>
          </w:tcPr>
          <w:p w14:paraId="44FC9066" w14:textId="77777777" w:rsidR="000E058F" w:rsidRDefault="009755FF">
            <w:pPr>
              <w:widowControl/>
              <w:spacing w:line="500" w:lineRule="exact"/>
              <w:jc w:val="center"/>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不要求</w:t>
            </w:r>
          </w:p>
        </w:tc>
        <w:tc>
          <w:tcPr>
            <w:tcW w:w="1896" w:type="dxa"/>
            <w:vAlign w:val="center"/>
          </w:tcPr>
          <w:p w14:paraId="283C663C" w14:textId="77777777" w:rsidR="000E058F" w:rsidRDefault="009755FF">
            <w:pPr>
              <w:widowControl/>
              <w:spacing w:line="500" w:lineRule="exact"/>
              <w:jc w:val="center"/>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不要求</w:t>
            </w:r>
          </w:p>
        </w:tc>
        <w:tc>
          <w:tcPr>
            <w:tcW w:w="1750" w:type="dxa"/>
            <w:vAlign w:val="center"/>
          </w:tcPr>
          <w:p w14:paraId="302AC2B8" w14:textId="77777777" w:rsidR="000E058F" w:rsidRDefault="009755FF">
            <w:pPr>
              <w:widowControl/>
              <w:spacing w:line="500" w:lineRule="exact"/>
              <w:jc w:val="center"/>
              <w:textAlignment w:val="center"/>
              <w:rPr>
                <w:rFonts w:asciiTheme="minorEastAsia" w:hAnsiTheme="minorEastAsia" w:cstheme="minorEastAsia"/>
                <w:color w:val="000000"/>
                <w:kern w:val="0"/>
                <w:sz w:val="28"/>
                <w:szCs w:val="28"/>
                <w:lang w:bidi="ar"/>
              </w:rPr>
            </w:pPr>
            <w:r>
              <w:rPr>
                <w:rFonts w:asciiTheme="minorEastAsia" w:hAnsiTheme="minorEastAsia" w:cstheme="minorEastAsia"/>
                <w:color w:val="000000"/>
                <w:kern w:val="0"/>
                <w:sz w:val="28"/>
                <w:szCs w:val="28"/>
                <w:lang w:bidi="ar"/>
              </w:rPr>
              <w:t>不要求</w:t>
            </w:r>
          </w:p>
        </w:tc>
      </w:tr>
    </w:tbl>
    <w:p w14:paraId="1A7C6FCF" w14:textId="77777777" w:rsidR="000E058F" w:rsidRDefault="000E058F">
      <w:pPr>
        <w:spacing w:line="400" w:lineRule="exact"/>
        <w:ind w:firstLineChars="200" w:firstLine="640"/>
        <w:rPr>
          <w:rFonts w:ascii="Times New Roman" w:eastAsia="黑体" w:hAnsi="Times New Roman" w:cs="Times New Roman"/>
          <w:sz w:val="32"/>
          <w:szCs w:val="32"/>
        </w:rPr>
      </w:pPr>
    </w:p>
    <w:p w14:paraId="32DA115F" w14:textId="77777777" w:rsidR="000E058F" w:rsidRDefault="000E058F">
      <w:pPr>
        <w:spacing w:line="300" w:lineRule="exact"/>
        <w:ind w:firstLineChars="200" w:firstLine="640"/>
        <w:rPr>
          <w:rFonts w:ascii="Times New Roman" w:eastAsia="黑体" w:hAnsi="Times New Roman" w:cs="Times New Roman"/>
          <w:sz w:val="32"/>
          <w:szCs w:val="32"/>
        </w:rPr>
      </w:pPr>
    </w:p>
    <w:p w14:paraId="72D933B0" w14:textId="77777777" w:rsidR="000E058F" w:rsidRDefault="009755FF">
      <w:pPr>
        <w:spacing w:line="4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统一封管控区和中高风险</w:t>
      </w:r>
      <w:proofErr w:type="gramStart"/>
      <w:r>
        <w:rPr>
          <w:rFonts w:ascii="Times New Roman" w:eastAsia="黑体" w:hAnsi="Times New Roman" w:cs="Times New Roman" w:hint="eastAsia"/>
          <w:sz w:val="32"/>
          <w:szCs w:val="32"/>
        </w:rPr>
        <w:t>区</w:t>
      </w:r>
      <w:r>
        <w:rPr>
          <w:rFonts w:ascii="Times New Roman" w:eastAsia="黑体" w:hAnsi="Times New Roman" w:cs="Times New Roman"/>
          <w:sz w:val="32"/>
          <w:szCs w:val="32"/>
        </w:rPr>
        <w:t>划定</w:t>
      </w:r>
      <w:proofErr w:type="gramEnd"/>
      <w:r>
        <w:rPr>
          <w:rFonts w:ascii="Times New Roman" w:eastAsia="黑体" w:hAnsi="Times New Roman" w:cs="Times New Roman" w:hint="eastAsia"/>
          <w:sz w:val="32"/>
          <w:szCs w:val="32"/>
        </w:rPr>
        <w:t>标准</w:t>
      </w:r>
    </w:p>
    <w:p w14:paraId="11A0E066" w14:textId="77777777" w:rsidR="000E058F" w:rsidRDefault="009755FF">
      <w:pPr>
        <w:spacing w:line="567"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（一）风险区域划定调整</w:t>
      </w:r>
    </w:p>
    <w:p w14:paraId="63CD6D76" w14:textId="77777777" w:rsidR="000E058F" w:rsidRDefault="009755FF">
      <w:pPr>
        <w:spacing w:line="567"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封管控区和中高风险区两类风险区域划定标准和防控措施进行衔接对应，统一使用中高风险区的概念。</w:t>
      </w:r>
    </w:p>
    <w:p w14:paraId="5AED41D9" w14:textId="77777777" w:rsidR="000E058F" w:rsidRDefault="009755FF">
      <w:pPr>
        <w:spacing w:line="567"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Pr>
          <w:rFonts w:ascii="Times New Roman" w:eastAsia="楷体_GB2312" w:hAnsi="Times New Roman" w:cs="Times New Roman"/>
          <w:sz w:val="32"/>
          <w:szCs w:val="32"/>
        </w:rPr>
        <w:t>风险区域划定及防控标准</w:t>
      </w:r>
    </w:p>
    <w:tbl>
      <w:tblPr>
        <w:tblStyle w:val="a6"/>
        <w:tblW w:w="0" w:type="auto"/>
        <w:jc w:val="center"/>
        <w:tblLook w:val="04A0" w:firstRow="1" w:lastRow="0" w:firstColumn="1" w:lastColumn="0" w:noHBand="0" w:noVBand="1"/>
      </w:tblPr>
      <w:tblGrid>
        <w:gridCol w:w="1240"/>
        <w:gridCol w:w="2991"/>
        <w:gridCol w:w="2385"/>
        <w:gridCol w:w="2183"/>
      </w:tblGrid>
      <w:tr w:rsidR="000E058F" w14:paraId="6109346F" w14:textId="77777777">
        <w:trPr>
          <w:trHeight w:val="543"/>
          <w:jc w:val="center"/>
        </w:trPr>
        <w:tc>
          <w:tcPr>
            <w:tcW w:w="1240" w:type="dxa"/>
          </w:tcPr>
          <w:p w14:paraId="5B0416F2" w14:textId="77777777" w:rsidR="000E058F" w:rsidRDefault="000E058F">
            <w:pPr>
              <w:spacing w:line="400" w:lineRule="exact"/>
              <w:rPr>
                <w:rFonts w:ascii="Times New Roman" w:eastAsia="宋体" w:hAnsi="Times New Roman" w:cs="Times New Roman"/>
                <w:sz w:val="24"/>
              </w:rPr>
            </w:pPr>
          </w:p>
        </w:tc>
        <w:tc>
          <w:tcPr>
            <w:tcW w:w="2991" w:type="dxa"/>
            <w:vAlign w:val="center"/>
          </w:tcPr>
          <w:p w14:paraId="46F11815" w14:textId="77777777" w:rsidR="000E058F" w:rsidRDefault="009755FF">
            <w:pPr>
              <w:widowControl/>
              <w:spacing w:line="400" w:lineRule="exact"/>
              <w:jc w:val="center"/>
              <w:textAlignment w:val="center"/>
              <w:rPr>
                <w:rStyle w:val="font21"/>
                <w:rFonts w:eastAsia="宋体"/>
                <w:b/>
                <w:bCs/>
                <w:sz w:val="24"/>
                <w:szCs w:val="24"/>
                <w:lang w:bidi="ar"/>
              </w:rPr>
            </w:pPr>
            <w:r>
              <w:rPr>
                <w:rStyle w:val="font21"/>
                <w:rFonts w:eastAsia="宋体"/>
                <w:b/>
                <w:bCs/>
                <w:sz w:val="24"/>
                <w:szCs w:val="24"/>
                <w:lang w:bidi="ar"/>
              </w:rPr>
              <w:t>高风险区</w:t>
            </w:r>
          </w:p>
        </w:tc>
        <w:tc>
          <w:tcPr>
            <w:tcW w:w="2385" w:type="dxa"/>
            <w:vAlign w:val="center"/>
          </w:tcPr>
          <w:p w14:paraId="2A35B320" w14:textId="77777777" w:rsidR="000E058F" w:rsidRDefault="009755FF">
            <w:pPr>
              <w:widowControl/>
              <w:spacing w:line="400" w:lineRule="exact"/>
              <w:jc w:val="center"/>
              <w:textAlignment w:val="center"/>
              <w:rPr>
                <w:rStyle w:val="font21"/>
                <w:rFonts w:eastAsia="宋体"/>
                <w:b/>
                <w:bCs/>
                <w:sz w:val="24"/>
                <w:szCs w:val="24"/>
                <w:lang w:bidi="ar"/>
              </w:rPr>
            </w:pPr>
            <w:r>
              <w:rPr>
                <w:rStyle w:val="font21"/>
                <w:rFonts w:eastAsia="宋体"/>
                <w:b/>
                <w:bCs/>
                <w:sz w:val="24"/>
                <w:szCs w:val="24"/>
                <w:lang w:bidi="ar"/>
              </w:rPr>
              <w:t>中风险区</w:t>
            </w:r>
          </w:p>
        </w:tc>
        <w:tc>
          <w:tcPr>
            <w:tcW w:w="2183" w:type="dxa"/>
            <w:vAlign w:val="center"/>
          </w:tcPr>
          <w:p w14:paraId="69258FC4" w14:textId="77777777" w:rsidR="000E058F" w:rsidRDefault="009755FF">
            <w:pPr>
              <w:widowControl/>
              <w:spacing w:line="400" w:lineRule="exact"/>
              <w:jc w:val="center"/>
              <w:textAlignment w:val="center"/>
              <w:rPr>
                <w:rStyle w:val="font21"/>
                <w:rFonts w:eastAsia="宋体"/>
                <w:b/>
                <w:bCs/>
                <w:sz w:val="24"/>
                <w:szCs w:val="24"/>
                <w:lang w:bidi="ar"/>
              </w:rPr>
            </w:pPr>
            <w:r>
              <w:rPr>
                <w:rStyle w:val="font21"/>
                <w:rFonts w:eastAsia="宋体"/>
                <w:b/>
                <w:bCs/>
                <w:sz w:val="24"/>
                <w:szCs w:val="24"/>
                <w:lang w:bidi="ar"/>
              </w:rPr>
              <w:t>低风险区</w:t>
            </w:r>
          </w:p>
        </w:tc>
      </w:tr>
      <w:tr w:rsidR="000E058F" w14:paraId="566914B5" w14:textId="77777777">
        <w:trPr>
          <w:trHeight w:val="1055"/>
          <w:jc w:val="center"/>
        </w:trPr>
        <w:tc>
          <w:tcPr>
            <w:tcW w:w="1240" w:type="dxa"/>
            <w:vAlign w:val="center"/>
          </w:tcPr>
          <w:p w14:paraId="392D652F" w14:textId="77777777" w:rsidR="000E058F" w:rsidRDefault="009755FF">
            <w:pPr>
              <w:widowControl/>
              <w:spacing w:line="400" w:lineRule="exact"/>
              <w:jc w:val="center"/>
              <w:textAlignment w:val="center"/>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t>划定标准</w:t>
            </w:r>
          </w:p>
        </w:tc>
        <w:tc>
          <w:tcPr>
            <w:tcW w:w="2991" w:type="dxa"/>
            <w:vAlign w:val="center"/>
          </w:tcPr>
          <w:p w14:paraId="1D8F9444"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病例和无症状感染者居住地，以及活动频繁且疫情传播风险较高的工作地和活动地等区域，划为高风险区。原则上以居住小区（村）为单位划定，根据流调研</w:t>
            </w:r>
            <w:proofErr w:type="gramStart"/>
            <w:r>
              <w:rPr>
                <w:rFonts w:asciiTheme="minorEastAsia" w:hAnsiTheme="minorEastAsia" w:cstheme="minorEastAsia"/>
                <w:color w:val="000000"/>
                <w:kern w:val="0"/>
                <w:sz w:val="24"/>
                <w:lang w:bidi="ar"/>
              </w:rPr>
              <w:t>判结果</w:t>
            </w:r>
            <w:proofErr w:type="gramEnd"/>
            <w:r>
              <w:rPr>
                <w:rFonts w:asciiTheme="minorEastAsia" w:hAnsiTheme="minorEastAsia" w:cstheme="minorEastAsia"/>
                <w:color w:val="000000"/>
                <w:kern w:val="0"/>
                <w:sz w:val="24"/>
                <w:lang w:bidi="ar"/>
              </w:rPr>
              <w:t>可调整风险区域范围。</w:t>
            </w:r>
          </w:p>
        </w:tc>
        <w:tc>
          <w:tcPr>
            <w:tcW w:w="2385" w:type="dxa"/>
            <w:vAlign w:val="center"/>
          </w:tcPr>
          <w:p w14:paraId="2837C687"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病例和无症状感染者停留和活动一定时间，且可能具有疫情传播风险的工作地和活动地等区域，划为中风险区，风险区域范围根据流调研</w:t>
            </w:r>
            <w:proofErr w:type="gramStart"/>
            <w:r>
              <w:rPr>
                <w:rFonts w:asciiTheme="minorEastAsia" w:hAnsiTheme="minorEastAsia" w:cstheme="minorEastAsia"/>
                <w:color w:val="000000"/>
                <w:kern w:val="0"/>
                <w:sz w:val="24"/>
                <w:lang w:bidi="ar"/>
              </w:rPr>
              <w:t>判结果</w:t>
            </w:r>
            <w:proofErr w:type="gramEnd"/>
            <w:r>
              <w:rPr>
                <w:rFonts w:asciiTheme="minorEastAsia" w:hAnsiTheme="minorEastAsia" w:cstheme="minorEastAsia"/>
                <w:color w:val="000000"/>
                <w:kern w:val="0"/>
                <w:sz w:val="24"/>
                <w:lang w:bidi="ar"/>
              </w:rPr>
              <w:t>划定。</w:t>
            </w:r>
          </w:p>
        </w:tc>
        <w:tc>
          <w:tcPr>
            <w:tcW w:w="2183" w:type="dxa"/>
            <w:vAlign w:val="center"/>
          </w:tcPr>
          <w:p w14:paraId="7EC7EA01"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中、高风险区所在县（市、区、旗）的其他地区为低风险区。</w:t>
            </w:r>
          </w:p>
        </w:tc>
      </w:tr>
      <w:tr w:rsidR="000E058F" w14:paraId="15756BC7" w14:textId="77777777">
        <w:trPr>
          <w:trHeight w:val="636"/>
          <w:jc w:val="center"/>
        </w:trPr>
        <w:tc>
          <w:tcPr>
            <w:tcW w:w="1240" w:type="dxa"/>
            <w:vAlign w:val="center"/>
          </w:tcPr>
          <w:p w14:paraId="184C56C6" w14:textId="77777777" w:rsidR="000E058F" w:rsidRDefault="009755FF">
            <w:pPr>
              <w:widowControl/>
              <w:spacing w:line="400" w:lineRule="exact"/>
              <w:jc w:val="center"/>
              <w:textAlignment w:val="center"/>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t>防控措施</w:t>
            </w:r>
          </w:p>
        </w:tc>
        <w:tc>
          <w:tcPr>
            <w:tcW w:w="2991" w:type="dxa"/>
            <w:vAlign w:val="center"/>
          </w:tcPr>
          <w:p w14:paraId="43A99670"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釆</w:t>
            </w:r>
            <w:proofErr w:type="gramStart"/>
            <w:r>
              <w:rPr>
                <w:rFonts w:asciiTheme="minorEastAsia" w:hAnsiTheme="minorEastAsia" w:cstheme="minorEastAsia"/>
                <w:color w:val="000000"/>
                <w:kern w:val="0"/>
                <w:sz w:val="24"/>
                <w:lang w:bidi="ar"/>
              </w:rPr>
              <w:t>取封控</w:t>
            </w:r>
            <w:proofErr w:type="gramEnd"/>
            <w:r>
              <w:rPr>
                <w:rFonts w:asciiTheme="minorEastAsia" w:hAnsiTheme="minorEastAsia" w:cstheme="minorEastAsia"/>
                <w:color w:val="000000"/>
                <w:kern w:val="0"/>
                <w:sz w:val="24"/>
                <w:lang w:bidi="ar"/>
              </w:rPr>
              <w:t>措施：足不出户、</w:t>
            </w:r>
            <w:r>
              <w:rPr>
                <w:rFonts w:asciiTheme="minorEastAsia" w:hAnsiTheme="minorEastAsia" w:cstheme="minorEastAsia"/>
                <w:color w:val="000000"/>
                <w:kern w:val="0"/>
                <w:sz w:val="24"/>
                <w:lang w:bidi="ar"/>
              </w:rPr>
              <w:t xml:space="preserve"> </w:t>
            </w:r>
            <w:r>
              <w:rPr>
                <w:rFonts w:asciiTheme="minorEastAsia" w:hAnsiTheme="minorEastAsia" w:cstheme="minorEastAsia"/>
                <w:color w:val="000000"/>
                <w:kern w:val="0"/>
                <w:sz w:val="24"/>
                <w:lang w:bidi="ar"/>
              </w:rPr>
              <w:t>上门服务。</w:t>
            </w:r>
          </w:p>
        </w:tc>
        <w:tc>
          <w:tcPr>
            <w:tcW w:w="2385" w:type="dxa"/>
            <w:vAlign w:val="center"/>
          </w:tcPr>
          <w:p w14:paraId="5BFD1C7B"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proofErr w:type="gramStart"/>
            <w:r>
              <w:rPr>
                <w:rFonts w:asciiTheme="minorEastAsia" w:hAnsiTheme="minorEastAsia" w:cstheme="minorEastAsia"/>
                <w:color w:val="000000"/>
                <w:kern w:val="0"/>
                <w:sz w:val="24"/>
                <w:lang w:bidi="ar"/>
              </w:rPr>
              <w:t>釆取管控</w:t>
            </w:r>
            <w:proofErr w:type="gramEnd"/>
            <w:r>
              <w:rPr>
                <w:rFonts w:asciiTheme="minorEastAsia" w:hAnsiTheme="minorEastAsia" w:cstheme="minorEastAsia"/>
                <w:color w:val="000000"/>
                <w:kern w:val="0"/>
                <w:sz w:val="24"/>
                <w:lang w:bidi="ar"/>
              </w:rPr>
              <w:t>措施：足不出区、错峰取物。</w:t>
            </w:r>
          </w:p>
        </w:tc>
        <w:tc>
          <w:tcPr>
            <w:tcW w:w="2183" w:type="dxa"/>
            <w:vAlign w:val="center"/>
          </w:tcPr>
          <w:p w14:paraId="183A73B3"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采取防范措施：个人防护、避免聚集。</w:t>
            </w:r>
          </w:p>
        </w:tc>
      </w:tr>
      <w:tr w:rsidR="000E058F" w14:paraId="2DB73CEC" w14:textId="77777777">
        <w:trPr>
          <w:trHeight w:val="1505"/>
          <w:jc w:val="center"/>
        </w:trPr>
        <w:tc>
          <w:tcPr>
            <w:tcW w:w="1240" w:type="dxa"/>
            <w:vAlign w:val="center"/>
          </w:tcPr>
          <w:p w14:paraId="54B46B49" w14:textId="77777777" w:rsidR="000E058F" w:rsidRDefault="000E058F">
            <w:pPr>
              <w:widowControl/>
              <w:spacing w:line="400" w:lineRule="exact"/>
              <w:jc w:val="center"/>
              <w:textAlignment w:val="center"/>
              <w:rPr>
                <w:rFonts w:ascii="Times New Roman" w:eastAsia="宋体" w:hAnsi="Times New Roman" w:cs="Times New Roman"/>
                <w:b/>
                <w:bCs/>
                <w:color w:val="000000"/>
                <w:kern w:val="0"/>
                <w:sz w:val="24"/>
                <w:lang w:bidi="ar"/>
              </w:rPr>
            </w:pPr>
          </w:p>
          <w:p w14:paraId="2884BFFD" w14:textId="77777777" w:rsidR="000E058F" w:rsidRDefault="000E058F">
            <w:pPr>
              <w:widowControl/>
              <w:spacing w:line="400" w:lineRule="exact"/>
              <w:jc w:val="center"/>
              <w:textAlignment w:val="center"/>
              <w:rPr>
                <w:rFonts w:ascii="Times New Roman" w:eastAsia="宋体" w:hAnsi="Times New Roman" w:cs="Times New Roman"/>
                <w:b/>
                <w:bCs/>
                <w:color w:val="000000"/>
                <w:kern w:val="0"/>
                <w:sz w:val="24"/>
                <w:lang w:bidi="ar"/>
              </w:rPr>
            </w:pPr>
          </w:p>
          <w:p w14:paraId="07C6190B" w14:textId="77777777" w:rsidR="000E058F" w:rsidRDefault="009755FF">
            <w:pPr>
              <w:widowControl/>
              <w:spacing w:line="400" w:lineRule="exact"/>
              <w:jc w:val="center"/>
              <w:textAlignment w:val="center"/>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t>解除标准</w:t>
            </w:r>
          </w:p>
        </w:tc>
        <w:tc>
          <w:tcPr>
            <w:tcW w:w="2991" w:type="dxa"/>
            <w:vAlign w:val="center"/>
          </w:tcPr>
          <w:p w14:paraId="55BB5D16"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连续</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天无新增感染者，且第</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天风险区域内所有人员完成一轮</w:t>
            </w:r>
            <w:r>
              <w:rPr>
                <w:rFonts w:asciiTheme="minorEastAsia" w:hAnsiTheme="minorEastAsia" w:cstheme="minorEastAsia" w:hint="eastAsia"/>
                <w:color w:val="000000"/>
                <w:kern w:val="0"/>
                <w:sz w:val="24"/>
                <w:lang w:bidi="ar"/>
              </w:rPr>
              <w:t>核酸</w:t>
            </w:r>
            <w:r>
              <w:rPr>
                <w:rFonts w:asciiTheme="minorEastAsia" w:hAnsiTheme="minorEastAsia" w:cstheme="minorEastAsia"/>
                <w:color w:val="000000"/>
                <w:kern w:val="0"/>
                <w:sz w:val="24"/>
                <w:lang w:bidi="ar"/>
              </w:rPr>
              <w:t>筛查均为阴性，降为中风险区；连续</w:t>
            </w:r>
            <w:r>
              <w:rPr>
                <w:rFonts w:asciiTheme="minorEastAsia" w:hAnsiTheme="minorEastAsia" w:cstheme="minorEastAsia"/>
                <w:color w:val="000000"/>
                <w:kern w:val="0"/>
                <w:sz w:val="24"/>
                <w:lang w:bidi="ar"/>
              </w:rPr>
              <w:t>3</w:t>
            </w:r>
            <w:r>
              <w:rPr>
                <w:rFonts w:asciiTheme="minorEastAsia" w:hAnsiTheme="minorEastAsia" w:cstheme="minorEastAsia"/>
                <w:color w:val="000000"/>
                <w:kern w:val="0"/>
                <w:sz w:val="24"/>
                <w:lang w:bidi="ar"/>
              </w:rPr>
              <w:t>天无新增感染者降为低风险区。</w:t>
            </w:r>
          </w:p>
        </w:tc>
        <w:tc>
          <w:tcPr>
            <w:tcW w:w="2385" w:type="dxa"/>
            <w:vAlign w:val="center"/>
          </w:tcPr>
          <w:p w14:paraId="0FEF07A3"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连续</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天无新增感染者，且第</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天风险区域内所有人员完成一轮核酸筛查均为阴性，降为低风险区。</w:t>
            </w:r>
          </w:p>
        </w:tc>
        <w:tc>
          <w:tcPr>
            <w:tcW w:w="2183" w:type="dxa"/>
            <w:vAlign w:val="center"/>
          </w:tcPr>
          <w:p w14:paraId="6004A83E"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所在县（市、区、旗）无中高风险区，低风险区调整为常态化防控。</w:t>
            </w:r>
          </w:p>
        </w:tc>
      </w:tr>
      <w:tr w:rsidR="000E058F" w14:paraId="7902156C" w14:textId="77777777">
        <w:trPr>
          <w:trHeight w:val="1287"/>
          <w:jc w:val="center"/>
        </w:trPr>
        <w:tc>
          <w:tcPr>
            <w:tcW w:w="1240" w:type="dxa"/>
            <w:vAlign w:val="center"/>
          </w:tcPr>
          <w:p w14:paraId="69A900E0" w14:textId="77777777" w:rsidR="000E058F" w:rsidRDefault="009755FF">
            <w:pPr>
              <w:widowControl/>
              <w:spacing w:line="400" w:lineRule="exact"/>
              <w:jc w:val="center"/>
              <w:textAlignment w:val="center"/>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t>外溢风险人员管控措施</w:t>
            </w:r>
          </w:p>
        </w:tc>
        <w:tc>
          <w:tcPr>
            <w:tcW w:w="2991" w:type="dxa"/>
            <w:vAlign w:val="center"/>
          </w:tcPr>
          <w:p w14:paraId="139374BC"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流入地对有高风险地区</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天旅居史的人员釆取</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天集中隔离医学观察。对高风险区外溢人员，釆取</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天集中隔离医学观察，在集中隔离医学观察第</w:t>
            </w:r>
            <w:r>
              <w:rPr>
                <w:rFonts w:asciiTheme="minorEastAsia" w:hAnsiTheme="minorEastAsia" w:cstheme="minorEastAsia"/>
                <w:color w:val="000000"/>
                <w:kern w:val="0"/>
                <w:sz w:val="24"/>
                <w:lang w:bidi="ar"/>
              </w:rPr>
              <w:t>1</w:t>
            </w:r>
            <w:r>
              <w:rPr>
                <w:rFonts w:asciiTheme="minorEastAsia" w:hAnsiTheme="minorEastAsia" w:cstheme="minorEastAsia"/>
                <w:color w:val="000000"/>
                <w:kern w:val="0"/>
                <w:sz w:val="24"/>
                <w:lang w:bidi="ar"/>
              </w:rPr>
              <w:t>、</w:t>
            </w:r>
            <w:r>
              <w:rPr>
                <w:rFonts w:asciiTheme="minorEastAsia" w:hAnsiTheme="minorEastAsia" w:cstheme="minorEastAsia"/>
                <w:color w:val="000000"/>
                <w:kern w:val="0"/>
                <w:sz w:val="24"/>
                <w:lang w:bidi="ar"/>
              </w:rPr>
              <w:t>2</w:t>
            </w:r>
            <w:r>
              <w:rPr>
                <w:rFonts w:asciiTheme="minorEastAsia" w:hAnsiTheme="minorEastAsia" w:cstheme="minorEastAsia"/>
                <w:color w:val="000000"/>
                <w:kern w:val="0"/>
                <w:sz w:val="24"/>
                <w:lang w:bidi="ar"/>
              </w:rPr>
              <w:t>、</w:t>
            </w:r>
            <w:r>
              <w:rPr>
                <w:rFonts w:asciiTheme="minorEastAsia" w:hAnsiTheme="minorEastAsia" w:cstheme="minorEastAsia"/>
                <w:color w:val="000000"/>
                <w:kern w:val="0"/>
                <w:sz w:val="24"/>
                <w:lang w:bidi="ar"/>
              </w:rPr>
              <w:t>3</w:t>
            </w:r>
            <w:r>
              <w:rPr>
                <w:rFonts w:asciiTheme="minorEastAsia" w:hAnsiTheme="minorEastAsia" w:cstheme="minorEastAsia"/>
                <w:color w:val="000000"/>
                <w:kern w:val="0"/>
                <w:sz w:val="24"/>
                <w:lang w:bidi="ar"/>
              </w:rPr>
              <w:t>、</w:t>
            </w:r>
            <w:r>
              <w:rPr>
                <w:rFonts w:asciiTheme="minorEastAsia" w:hAnsiTheme="minorEastAsia" w:cstheme="minorEastAsia"/>
                <w:color w:val="000000"/>
                <w:kern w:val="0"/>
                <w:sz w:val="24"/>
                <w:lang w:bidi="ar"/>
              </w:rPr>
              <w:t>5</w:t>
            </w:r>
            <w:r>
              <w:rPr>
                <w:rFonts w:asciiTheme="minorEastAsia" w:hAnsiTheme="minorEastAsia" w:cstheme="minorEastAsia"/>
                <w:color w:val="000000"/>
                <w:kern w:val="0"/>
                <w:sz w:val="24"/>
                <w:lang w:bidi="ar"/>
              </w:rPr>
              <w:t>和</w:t>
            </w:r>
            <w:r>
              <w:rPr>
                <w:rFonts w:asciiTheme="minorEastAsia" w:hAnsiTheme="minorEastAsia" w:cstheme="minorEastAsia"/>
                <w:color w:val="000000"/>
                <w:kern w:val="0"/>
                <w:sz w:val="24"/>
                <w:lang w:bidi="ar"/>
              </w:rPr>
              <w:t xml:space="preserve">7 </w:t>
            </w:r>
            <w:r>
              <w:rPr>
                <w:rFonts w:asciiTheme="minorEastAsia" w:hAnsiTheme="minorEastAsia" w:cstheme="minorEastAsia"/>
                <w:color w:val="000000"/>
                <w:kern w:val="0"/>
                <w:sz w:val="24"/>
                <w:lang w:bidi="ar"/>
              </w:rPr>
              <w:t>天各开展一次</w:t>
            </w:r>
            <w:r>
              <w:rPr>
                <w:rFonts w:asciiTheme="minorEastAsia" w:hAnsiTheme="minorEastAsia" w:cstheme="minorEastAsia" w:hint="eastAsia"/>
                <w:color w:val="000000"/>
                <w:kern w:val="0"/>
                <w:sz w:val="24"/>
                <w:lang w:bidi="ar"/>
              </w:rPr>
              <w:t>核酸</w:t>
            </w:r>
            <w:r>
              <w:rPr>
                <w:rFonts w:asciiTheme="minorEastAsia" w:hAnsiTheme="minorEastAsia" w:cstheme="minorEastAsia"/>
                <w:color w:val="000000"/>
                <w:kern w:val="0"/>
                <w:sz w:val="24"/>
                <w:lang w:bidi="ar"/>
              </w:rPr>
              <w:t>检测（管理期限自离开风险区域算起）。</w:t>
            </w:r>
          </w:p>
        </w:tc>
        <w:tc>
          <w:tcPr>
            <w:tcW w:w="2385" w:type="dxa"/>
            <w:vAlign w:val="center"/>
          </w:tcPr>
          <w:p w14:paraId="1AF1FE3B"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流入地对有中风险地区</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天旅居史的人员，釆取</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天居家隔离医学观察，在居家隔离医学观察第</w:t>
            </w:r>
            <w:r>
              <w:rPr>
                <w:rFonts w:asciiTheme="minorEastAsia" w:hAnsiTheme="minorEastAsia" w:cstheme="minorEastAsia"/>
                <w:color w:val="000000"/>
                <w:kern w:val="0"/>
                <w:sz w:val="24"/>
                <w:lang w:bidi="ar"/>
              </w:rPr>
              <w:t>1</w:t>
            </w:r>
            <w:r>
              <w:rPr>
                <w:rFonts w:asciiTheme="minorEastAsia" w:hAnsiTheme="minorEastAsia" w:cstheme="minorEastAsia"/>
                <w:color w:val="000000"/>
                <w:kern w:val="0"/>
                <w:sz w:val="24"/>
                <w:lang w:bidi="ar"/>
              </w:rPr>
              <w:t>、</w:t>
            </w:r>
            <w:r>
              <w:rPr>
                <w:rFonts w:asciiTheme="minorEastAsia" w:hAnsiTheme="minorEastAsia" w:cstheme="minorEastAsia"/>
                <w:color w:val="000000"/>
                <w:kern w:val="0"/>
                <w:sz w:val="24"/>
                <w:lang w:bidi="ar"/>
              </w:rPr>
              <w:t>4</w:t>
            </w:r>
            <w:r>
              <w:rPr>
                <w:rFonts w:asciiTheme="minorEastAsia" w:hAnsiTheme="minorEastAsia" w:cstheme="minorEastAsia"/>
                <w:color w:val="000000"/>
                <w:kern w:val="0"/>
                <w:sz w:val="24"/>
                <w:lang w:bidi="ar"/>
              </w:rPr>
              <w:t>和</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天各开展一次</w:t>
            </w:r>
            <w:r>
              <w:rPr>
                <w:rFonts w:asciiTheme="minorEastAsia" w:hAnsiTheme="minorEastAsia" w:cstheme="minorEastAsia" w:hint="eastAsia"/>
                <w:color w:val="000000"/>
                <w:kern w:val="0"/>
                <w:sz w:val="24"/>
                <w:lang w:bidi="ar"/>
              </w:rPr>
              <w:t>核酸</w:t>
            </w:r>
            <w:r>
              <w:rPr>
                <w:rFonts w:asciiTheme="minorEastAsia" w:hAnsiTheme="minorEastAsia" w:cstheme="minorEastAsia"/>
                <w:color w:val="000000"/>
                <w:kern w:val="0"/>
                <w:sz w:val="24"/>
                <w:lang w:bidi="ar"/>
              </w:rPr>
              <w:t>检测；如不具备居家隔离医</w:t>
            </w:r>
            <w:r>
              <w:rPr>
                <w:rFonts w:asciiTheme="minorEastAsia" w:hAnsiTheme="minorEastAsia" w:cstheme="minorEastAsia"/>
                <w:color w:val="000000"/>
                <w:kern w:val="0"/>
                <w:sz w:val="24"/>
                <w:lang w:bidi="ar"/>
              </w:rPr>
              <w:t>学观察条</w:t>
            </w:r>
            <w:r>
              <w:rPr>
                <w:rFonts w:asciiTheme="minorEastAsia" w:hAnsiTheme="minorEastAsia" w:cstheme="minorEastAsia"/>
                <w:color w:val="000000"/>
                <w:kern w:val="0"/>
                <w:sz w:val="24"/>
                <w:lang w:bidi="ar"/>
              </w:rPr>
              <w:t xml:space="preserve"> </w:t>
            </w:r>
            <w:r>
              <w:rPr>
                <w:rFonts w:asciiTheme="minorEastAsia" w:hAnsiTheme="minorEastAsia" w:cstheme="minorEastAsia"/>
                <w:color w:val="000000"/>
                <w:kern w:val="0"/>
                <w:sz w:val="24"/>
                <w:lang w:bidi="ar"/>
              </w:rPr>
              <w:t>件，釆取</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天集中隔离医学观察（管理期</w:t>
            </w:r>
            <w:r>
              <w:rPr>
                <w:rFonts w:asciiTheme="minorEastAsia" w:hAnsiTheme="minorEastAsia" w:cstheme="minorEastAsia"/>
                <w:color w:val="000000"/>
                <w:kern w:val="0"/>
                <w:sz w:val="24"/>
                <w:lang w:bidi="ar"/>
              </w:rPr>
              <w:t xml:space="preserve"> </w:t>
            </w:r>
            <w:r>
              <w:rPr>
                <w:rFonts w:asciiTheme="minorEastAsia" w:hAnsiTheme="minorEastAsia" w:cstheme="minorEastAsia"/>
                <w:color w:val="000000"/>
                <w:kern w:val="0"/>
                <w:sz w:val="24"/>
                <w:lang w:bidi="ar"/>
              </w:rPr>
              <w:t>限自离开风险区域算起）。</w:t>
            </w:r>
          </w:p>
        </w:tc>
        <w:tc>
          <w:tcPr>
            <w:tcW w:w="2183" w:type="dxa"/>
            <w:vAlign w:val="center"/>
          </w:tcPr>
          <w:p w14:paraId="50B2DE2C" w14:textId="77777777" w:rsidR="000E058F" w:rsidRDefault="009755FF">
            <w:pPr>
              <w:widowControl/>
              <w:spacing w:line="400" w:lineRule="exact"/>
              <w:textAlignment w:val="center"/>
              <w:rPr>
                <w:rFonts w:asciiTheme="minorEastAsia" w:hAnsiTheme="minorEastAsia" w:cstheme="minorEastAsia"/>
                <w:color w:val="000000"/>
                <w:kern w:val="0"/>
                <w:sz w:val="24"/>
                <w:lang w:bidi="ar"/>
              </w:rPr>
            </w:pPr>
            <w:r>
              <w:rPr>
                <w:rFonts w:asciiTheme="minorEastAsia" w:hAnsiTheme="minorEastAsia" w:cstheme="minorEastAsia"/>
                <w:color w:val="000000"/>
                <w:kern w:val="0"/>
                <w:sz w:val="24"/>
                <w:lang w:bidi="ar"/>
              </w:rPr>
              <w:t>流入地对有低风险地区</w:t>
            </w:r>
            <w:r>
              <w:rPr>
                <w:rFonts w:asciiTheme="minorEastAsia" w:hAnsiTheme="minorEastAsia" w:cstheme="minorEastAsia"/>
                <w:color w:val="000000"/>
                <w:kern w:val="0"/>
                <w:sz w:val="24"/>
                <w:lang w:bidi="ar"/>
              </w:rPr>
              <w:t>7</w:t>
            </w:r>
            <w:r>
              <w:rPr>
                <w:rFonts w:asciiTheme="minorEastAsia" w:hAnsiTheme="minorEastAsia" w:cstheme="minorEastAsia"/>
                <w:color w:val="000000"/>
                <w:kern w:val="0"/>
                <w:sz w:val="24"/>
                <w:lang w:bidi="ar"/>
              </w:rPr>
              <w:t>天旅居史的人员，</w:t>
            </w:r>
            <w:r>
              <w:rPr>
                <w:rFonts w:asciiTheme="minorEastAsia" w:hAnsiTheme="minorEastAsia" w:cstheme="minorEastAsia"/>
                <w:color w:val="000000"/>
                <w:kern w:val="0"/>
                <w:sz w:val="24"/>
                <w:lang w:bidi="ar"/>
              </w:rPr>
              <w:t>3</w:t>
            </w:r>
            <w:r>
              <w:rPr>
                <w:rFonts w:asciiTheme="minorEastAsia" w:hAnsiTheme="minorEastAsia" w:cstheme="minorEastAsia"/>
                <w:color w:val="000000"/>
                <w:kern w:val="0"/>
                <w:sz w:val="24"/>
                <w:lang w:bidi="ar"/>
              </w:rPr>
              <w:t>天内完成两次核酸检测（三天两检）。</w:t>
            </w:r>
          </w:p>
        </w:tc>
      </w:tr>
    </w:tbl>
    <w:p w14:paraId="5FFCCF76" w14:textId="77777777" w:rsidR="000E058F" w:rsidRDefault="000E058F">
      <w:pPr>
        <w:pStyle w:val="a5"/>
        <w:widowControl/>
        <w:spacing w:beforeAutospacing="0" w:afterAutospacing="0" w:line="480" w:lineRule="exact"/>
        <w:ind w:leftChars="200" w:left="420"/>
        <w:rPr>
          <w:rFonts w:ascii="Times New Roman" w:eastAsia="黑体" w:hAnsi="Times New Roman"/>
          <w:kern w:val="2"/>
          <w:sz w:val="32"/>
          <w:szCs w:val="32"/>
        </w:rPr>
      </w:pPr>
    </w:p>
    <w:p w14:paraId="00AFCC32" w14:textId="77777777" w:rsidR="000E058F" w:rsidRDefault="009755FF">
      <w:pPr>
        <w:pStyle w:val="a5"/>
        <w:widowControl/>
        <w:spacing w:beforeAutospacing="0" w:afterAutospacing="0" w:line="48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lastRenderedPageBreak/>
        <w:t>六</w:t>
      </w:r>
      <w:r>
        <w:rPr>
          <w:rFonts w:ascii="Times New Roman" w:eastAsia="黑体" w:hAnsi="Times New Roman"/>
          <w:kern w:val="2"/>
          <w:sz w:val="32"/>
          <w:szCs w:val="32"/>
        </w:rPr>
        <w:t>、</w:t>
      </w:r>
      <w:r>
        <w:rPr>
          <w:rFonts w:ascii="Times New Roman" w:eastAsia="黑体" w:hAnsi="Times New Roman" w:hint="eastAsia"/>
          <w:kern w:val="2"/>
          <w:sz w:val="32"/>
          <w:szCs w:val="32"/>
        </w:rPr>
        <w:t>加密</w:t>
      </w:r>
      <w:r>
        <w:rPr>
          <w:rFonts w:ascii="Times New Roman" w:eastAsia="黑体" w:hAnsi="Times New Roman"/>
          <w:kern w:val="2"/>
          <w:sz w:val="32"/>
          <w:szCs w:val="32"/>
        </w:rPr>
        <w:t>风险职业人员核酸检测频次</w:t>
      </w:r>
    </w:p>
    <w:p w14:paraId="733943F9" w14:textId="77777777" w:rsidR="000E058F" w:rsidRDefault="000E058F">
      <w:pPr>
        <w:pStyle w:val="a5"/>
        <w:widowControl/>
        <w:spacing w:beforeAutospacing="0" w:afterAutospacing="0" w:line="300" w:lineRule="exact"/>
        <w:ind w:leftChars="200" w:left="420"/>
        <w:rPr>
          <w:rFonts w:ascii="Times New Roman" w:eastAsia="黑体" w:hAnsi="Times New Roman"/>
          <w:kern w:val="2"/>
          <w:sz w:val="32"/>
          <w:szCs w:val="32"/>
        </w:rPr>
      </w:pPr>
    </w:p>
    <w:tbl>
      <w:tblPr>
        <w:tblW w:w="8733" w:type="dxa"/>
        <w:tblInd w:w="217" w:type="dxa"/>
        <w:tblLayout w:type="fixed"/>
        <w:tblLook w:val="04A0" w:firstRow="1" w:lastRow="0" w:firstColumn="1" w:lastColumn="0" w:noHBand="0" w:noVBand="1"/>
      </w:tblPr>
      <w:tblGrid>
        <w:gridCol w:w="717"/>
        <w:gridCol w:w="4112"/>
        <w:gridCol w:w="3904"/>
      </w:tblGrid>
      <w:tr w:rsidR="000E058F" w14:paraId="147223EA" w14:textId="77777777">
        <w:trPr>
          <w:trHeight w:val="531"/>
        </w:trPr>
        <w:tc>
          <w:tcPr>
            <w:tcW w:w="7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18EEE" w14:textId="77777777" w:rsidR="000E058F" w:rsidRDefault="009755FF">
            <w:pPr>
              <w:widowControl/>
              <w:spacing w:line="500" w:lineRule="exact"/>
              <w:jc w:val="center"/>
              <w:textAlignment w:val="center"/>
              <w:rPr>
                <w:rStyle w:val="font31"/>
                <w:rFonts w:ascii="宋体" w:eastAsia="宋体" w:hAnsi="宋体" w:cs="宋体"/>
                <w:b/>
                <w:bCs/>
                <w:sz w:val="21"/>
                <w:szCs w:val="21"/>
                <w:lang w:bidi="ar"/>
              </w:rPr>
            </w:pPr>
            <w:r>
              <w:rPr>
                <w:rStyle w:val="font31"/>
                <w:rFonts w:ascii="宋体" w:eastAsia="宋体" w:hAnsi="宋体" w:cs="宋体" w:hint="eastAsia"/>
                <w:b/>
                <w:bCs/>
                <w:sz w:val="21"/>
                <w:szCs w:val="21"/>
                <w:lang w:bidi="ar"/>
              </w:rPr>
              <w:t>序号</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05465C" w14:textId="77777777" w:rsidR="000E058F" w:rsidRDefault="009755FF">
            <w:pPr>
              <w:widowControl/>
              <w:spacing w:line="500" w:lineRule="exact"/>
              <w:jc w:val="center"/>
              <w:textAlignment w:val="center"/>
              <w:rPr>
                <w:rStyle w:val="font31"/>
                <w:rFonts w:ascii="宋体" w:eastAsia="宋体" w:hAnsi="宋体" w:cs="宋体"/>
                <w:b/>
                <w:bCs/>
                <w:sz w:val="21"/>
                <w:szCs w:val="21"/>
                <w:lang w:bidi="ar"/>
              </w:rPr>
            </w:pPr>
            <w:r>
              <w:rPr>
                <w:rStyle w:val="font31"/>
                <w:rFonts w:ascii="宋体" w:eastAsia="宋体" w:hAnsi="宋体" w:cs="宋体" w:hint="eastAsia"/>
                <w:b/>
                <w:bCs/>
                <w:sz w:val="21"/>
                <w:szCs w:val="21"/>
                <w:lang w:bidi="ar"/>
              </w:rPr>
              <w:t>人群类别</w:t>
            </w:r>
          </w:p>
        </w:tc>
        <w:tc>
          <w:tcPr>
            <w:tcW w:w="390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6901AD" w14:textId="77777777" w:rsidR="000E058F" w:rsidRDefault="009755FF">
            <w:pPr>
              <w:widowControl/>
              <w:spacing w:line="500" w:lineRule="exact"/>
              <w:jc w:val="center"/>
              <w:textAlignment w:val="center"/>
              <w:rPr>
                <w:rStyle w:val="font31"/>
                <w:rFonts w:ascii="宋体" w:eastAsia="宋体" w:hAnsi="宋体" w:cs="宋体"/>
                <w:b/>
                <w:bCs/>
                <w:sz w:val="21"/>
                <w:szCs w:val="21"/>
                <w:lang w:bidi="ar"/>
              </w:rPr>
            </w:pPr>
            <w:r>
              <w:rPr>
                <w:rStyle w:val="font31"/>
                <w:rFonts w:ascii="宋体" w:eastAsia="宋体" w:hAnsi="宋体" w:cs="宋体" w:hint="eastAsia"/>
                <w:b/>
                <w:bCs/>
                <w:sz w:val="21"/>
                <w:szCs w:val="21"/>
                <w:lang w:bidi="ar"/>
              </w:rPr>
              <w:t>核酸检测要求</w:t>
            </w:r>
          </w:p>
        </w:tc>
      </w:tr>
      <w:tr w:rsidR="000E058F" w14:paraId="1FC1C77F" w14:textId="77777777">
        <w:trPr>
          <w:trHeight w:val="90"/>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D88838"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EEBFBD"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跨境交通工具司乘、保洁、维修等人员</w:t>
            </w:r>
          </w:p>
        </w:tc>
        <w:tc>
          <w:tcPr>
            <w:tcW w:w="390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3E5EA6"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作业期间每天</w:t>
            </w:r>
            <w:r>
              <w:rPr>
                <w:rFonts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次全员核酸检测</w:t>
            </w:r>
          </w:p>
        </w:tc>
      </w:tr>
      <w:tr w:rsidR="000E058F" w14:paraId="0DBA95C2" w14:textId="77777777">
        <w:trPr>
          <w:trHeight w:val="521"/>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0F1EAA"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183D32"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口岸进口物品搬运人员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F06E0B"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185DFF9B"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0FED52"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10455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进口冷</w:t>
            </w:r>
            <w:proofErr w:type="gramStart"/>
            <w:r>
              <w:rPr>
                <w:rFonts w:asciiTheme="minorEastAsia" w:hAnsiTheme="minorEastAsia" w:cstheme="minorEastAsia"/>
                <w:color w:val="000000"/>
                <w:kern w:val="0"/>
                <w:szCs w:val="21"/>
                <w:lang w:bidi="ar"/>
              </w:rPr>
              <w:t>链食品</w:t>
            </w:r>
            <w:proofErr w:type="gramEnd"/>
            <w:r>
              <w:rPr>
                <w:rFonts w:asciiTheme="minorEastAsia" w:hAnsiTheme="minorEastAsia" w:cstheme="minorEastAsia"/>
                <w:color w:val="000000"/>
                <w:kern w:val="0"/>
                <w:szCs w:val="21"/>
                <w:lang w:bidi="ar"/>
              </w:rPr>
              <w:t>储存加工企业一线人员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402F28"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53042616"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238A57"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7F0BD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集中隔离场所工作人员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F50D19"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51C4FD95" w14:textId="77777777">
        <w:trPr>
          <w:trHeight w:val="320"/>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36080F"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E0212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定点医疗机构的工作人员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63EE97"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3245217D"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411818"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4617D4"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普通医疗机构发热门诊相关医务人员</w:t>
            </w:r>
          </w:p>
        </w:tc>
        <w:tc>
          <w:tcPr>
            <w:tcW w:w="390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0CE1F4"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每天</w:t>
            </w:r>
            <w:r>
              <w:rPr>
                <w:rFonts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检</w:t>
            </w:r>
          </w:p>
        </w:tc>
      </w:tr>
      <w:tr w:rsidR="000E058F" w14:paraId="2048B999" w14:textId="77777777">
        <w:trPr>
          <w:trHeight w:val="90"/>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2275B4"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20A4432"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海关、移民管理部门等其他直接接触入境人员和物品的一线人员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E708C9"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669390F4"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04ED5D"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8</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12C6E6"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快递、外卖</w:t>
            </w:r>
          </w:p>
        </w:tc>
        <w:tc>
          <w:tcPr>
            <w:tcW w:w="39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6555A6"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每周</w:t>
            </w:r>
            <w:r>
              <w:rPr>
                <w:rFonts w:asciiTheme="minorEastAsia" w:hAnsiTheme="minorEastAsia" w:cstheme="minorEastAsia"/>
                <w:color w:val="000000"/>
                <w:kern w:val="0"/>
                <w:szCs w:val="21"/>
                <w:lang w:bidi="ar"/>
              </w:rPr>
              <w:t>2</w:t>
            </w:r>
            <w:r>
              <w:rPr>
                <w:rFonts w:asciiTheme="minorEastAsia" w:hAnsiTheme="minorEastAsia" w:cstheme="minorEastAsia"/>
                <w:color w:val="000000"/>
                <w:kern w:val="0"/>
                <w:szCs w:val="21"/>
                <w:lang w:bidi="ar"/>
              </w:rPr>
              <w:t>次全员核酸检测。如辖区出现</w:t>
            </w:r>
            <w:r>
              <w:rPr>
                <w:rFonts w:asciiTheme="minorEastAsia" w:hAnsiTheme="minorEastAsia" w:cstheme="minorEastAsia"/>
                <w:color w:val="000000"/>
                <w:kern w:val="0"/>
                <w:szCs w:val="21"/>
                <w:lang w:bidi="ar"/>
              </w:rPr>
              <w:t xml:space="preserve">1 </w:t>
            </w:r>
            <w:r>
              <w:rPr>
                <w:rFonts w:asciiTheme="minorEastAsia" w:hAnsiTheme="minorEastAsia" w:cstheme="minorEastAsia"/>
                <w:color w:val="000000"/>
                <w:kern w:val="0"/>
                <w:szCs w:val="21"/>
                <w:lang w:bidi="ar"/>
              </w:rPr>
              <w:t>例及以上本土疫情时，根据疫情扩散风</w:t>
            </w:r>
            <w:r>
              <w:rPr>
                <w:rFonts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险及当地疫情防控要求增加核酸检测频次。</w:t>
            </w:r>
          </w:p>
        </w:tc>
      </w:tr>
      <w:tr w:rsidR="000E058F" w14:paraId="2BEF70B9"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2CBDB4" w14:textId="77777777" w:rsidR="000E058F" w:rsidRDefault="009755FF">
            <w:pPr>
              <w:widowControl/>
              <w:spacing w:line="5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766CCB"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酒店服务</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388FC0"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33BA76A0"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C436FD"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10</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7E40DB"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装修装卸服务</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8AED31"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0F59B099"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659B7D"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11</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AC933"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口岸管理服务人员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D58B9D"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675A1A7A"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D897A6"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12</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3EB2BD"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交通运输服务</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5BEB2E"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6327ABAE"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B6A133"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13</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52E41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商场超市和</w:t>
            </w:r>
            <w:proofErr w:type="gramStart"/>
            <w:r>
              <w:rPr>
                <w:rFonts w:asciiTheme="minorEastAsia" w:hAnsiTheme="minorEastAsia" w:cstheme="minorEastAsia"/>
                <w:color w:val="000000"/>
                <w:kern w:val="0"/>
                <w:szCs w:val="21"/>
                <w:lang w:bidi="ar"/>
              </w:rPr>
              <w:t>农（</w:t>
            </w:r>
            <w:proofErr w:type="gramEnd"/>
            <w:r>
              <w:rPr>
                <w:rFonts w:asciiTheme="minorEastAsia" w:hAnsiTheme="minorEastAsia" w:cstheme="minorEastAsia"/>
                <w:color w:val="000000"/>
                <w:kern w:val="0"/>
                <w:szCs w:val="21"/>
                <w:lang w:bidi="ar"/>
              </w:rPr>
              <w:t>集）贸市场工作人员等</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041F0B"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68CA8476"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3F22561"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14</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B90B4AE"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普通医疗机构除发热门诊以外的工作人员</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706B1F" w14:textId="77777777" w:rsidR="000E058F" w:rsidRDefault="000E058F">
            <w:pPr>
              <w:widowControl/>
              <w:spacing w:line="500" w:lineRule="exact"/>
              <w:textAlignment w:val="center"/>
              <w:rPr>
                <w:rFonts w:asciiTheme="minorEastAsia" w:hAnsiTheme="minorEastAsia" w:cstheme="minorEastAsia"/>
                <w:color w:val="000000"/>
                <w:kern w:val="0"/>
                <w:szCs w:val="21"/>
                <w:lang w:bidi="ar"/>
              </w:rPr>
            </w:pPr>
          </w:p>
        </w:tc>
      </w:tr>
      <w:tr w:rsidR="000E058F" w14:paraId="1EA2A50E"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tcPr>
          <w:p w14:paraId="3C489AFA"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15</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tcPr>
          <w:p w14:paraId="486E492E"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学校和托幼机构、培训机构</w:t>
            </w:r>
          </w:p>
        </w:tc>
        <w:tc>
          <w:tcPr>
            <w:tcW w:w="39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9FA33D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辖区内出现</w:t>
            </w:r>
            <w:r>
              <w:rPr>
                <w:rFonts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例及以上本土疫情后，应</w:t>
            </w:r>
            <w:r>
              <w:rPr>
                <w:rFonts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及时组织完成</w:t>
            </w:r>
            <w:r>
              <w:rPr>
                <w:rFonts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次全员核酸检测，后续</w:t>
            </w:r>
            <w:r>
              <w:rPr>
                <w:rFonts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可根据检测结果及疫情扩散风险按照每天至少</w:t>
            </w:r>
            <w:r>
              <w:rPr>
                <w:rFonts w:asciiTheme="minorEastAsia" w:hAnsiTheme="minorEastAsia" w:cstheme="minorEastAsia"/>
                <w:color w:val="000000"/>
                <w:kern w:val="0"/>
                <w:szCs w:val="21"/>
                <w:lang w:bidi="ar"/>
              </w:rPr>
              <w:t>20%</w:t>
            </w:r>
            <w:r>
              <w:rPr>
                <w:rFonts w:asciiTheme="minorEastAsia" w:hAnsiTheme="minorEastAsia" w:cstheme="minorEastAsia"/>
                <w:color w:val="000000"/>
                <w:kern w:val="0"/>
                <w:szCs w:val="21"/>
                <w:lang w:bidi="ar"/>
              </w:rPr>
              <w:t>的抽样比例或辖区检测要求开展核酸检测。</w:t>
            </w:r>
          </w:p>
        </w:tc>
      </w:tr>
      <w:tr w:rsidR="000E058F" w14:paraId="769B282F"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tcPr>
          <w:p w14:paraId="60A2D28A"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16</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tcPr>
          <w:p w14:paraId="6173EAC5"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养老和儿童福利领域服务机构</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028453" w14:textId="77777777" w:rsidR="000E058F" w:rsidRDefault="000E058F">
            <w:pPr>
              <w:widowControl/>
              <w:spacing w:line="500" w:lineRule="exact"/>
              <w:jc w:val="center"/>
              <w:textAlignment w:val="center"/>
              <w:rPr>
                <w:rFonts w:ascii="Times New Roman" w:eastAsia="宋体" w:hAnsi="Times New Roman" w:cs="Times New Roman"/>
                <w:color w:val="000000"/>
                <w:kern w:val="0"/>
                <w:szCs w:val="21"/>
                <w:lang w:bidi="ar"/>
              </w:rPr>
            </w:pPr>
          </w:p>
        </w:tc>
      </w:tr>
      <w:tr w:rsidR="000E058F" w14:paraId="5F34B6BA" w14:textId="77777777">
        <w:trPr>
          <w:trHeight w:val="520"/>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9619094"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17</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EF46131"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精神专科医院</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41966E" w14:textId="77777777" w:rsidR="000E058F" w:rsidRDefault="000E058F">
            <w:pPr>
              <w:widowControl/>
              <w:spacing w:line="500" w:lineRule="exact"/>
              <w:jc w:val="center"/>
              <w:textAlignment w:val="center"/>
              <w:rPr>
                <w:rFonts w:ascii="Times New Roman" w:eastAsia="宋体" w:hAnsi="Times New Roman" w:cs="Times New Roman"/>
                <w:color w:val="000000"/>
                <w:kern w:val="0"/>
                <w:szCs w:val="21"/>
                <w:lang w:bidi="ar"/>
              </w:rPr>
            </w:pPr>
          </w:p>
        </w:tc>
      </w:tr>
      <w:tr w:rsidR="000E058F" w14:paraId="280648E4" w14:textId="77777777">
        <w:trPr>
          <w:trHeight w:val="279"/>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52E354"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18</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E7B440"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监管场所</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FAF7EF" w14:textId="77777777" w:rsidR="000E058F" w:rsidRDefault="000E058F">
            <w:pPr>
              <w:widowControl/>
              <w:spacing w:line="500" w:lineRule="exact"/>
              <w:jc w:val="center"/>
              <w:textAlignment w:val="center"/>
              <w:rPr>
                <w:rFonts w:ascii="Times New Roman" w:eastAsia="宋体" w:hAnsi="Times New Roman" w:cs="Times New Roman"/>
                <w:color w:val="000000"/>
                <w:kern w:val="0"/>
                <w:szCs w:val="21"/>
                <w:lang w:bidi="ar"/>
              </w:rPr>
            </w:pPr>
          </w:p>
        </w:tc>
      </w:tr>
      <w:tr w:rsidR="000E058F" w14:paraId="6971A6CA" w14:textId="77777777">
        <w:trPr>
          <w:trHeight w:val="213"/>
        </w:trPr>
        <w:tc>
          <w:tcPr>
            <w:tcW w:w="7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4272E18"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19</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E200B56"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生产车间</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5FBA0E" w14:textId="77777777" w:rsidR="000E058F" w:rsidRDefault="000E058F">
            <w:pPr>
              <w:widowControl/>
              <w:spacing w:line="500" w:lineRule="exact"/>
              <w:jc w:val="center"/>
              <w:textAlignment w:val="center"/>
              <w:rPr>
                <w:rFonts w:ascii="Times New Roman" w:eastAsia="宋体" w:hAnsi="Times New Roman" w:cs="Times New Roman"/>
                <w:color w:val="000000"/>
                <w:kern w:val="0"/>
                <w:szCs w:val="21"/>
                <w:lang w:bidi="ar"/>
              </w:rPr>
            </w:pPr>
          </w:p>
        </w:tc>
      </w:tr>
      <w:tr w:rsidR="000E058F" w14:paraId="65E5C23F" w14:textId="77777777">
        <w:trPr>
          <w:trHeight w:val="394"/>
        </w:trPr>
        <w:tc>
          <w:tcPr>
            <w:tcW w:w="717" w:type="dxa"/>
            <w:tcBorders>
              <w:top w:val="single" w:sz="8" w:space="0" w:color="000000"/>
              <w:left w:val="single" w:sz="8" w:space="0" w:color="000000"/>
              <w:bottom w:val="single" w:sz="8" w:space="0" w:color="000000"/>
              <w:right w:val="single" w:sz="8" w:space="0" w:color="000000"/>
            </w:tcBorders>
            <w:shd w:val="clear" w:color="auto" w:fill="auto"/>
            <w:noWrap/>
          </w:tcPr>
          <w:p w14:paraId="48188F64" w14:textId="77777777" w:rsidR="000E058F" w:rsidRDefault="009755FF">
            <w:pPr>
              <w:widowControl/>
              <w:spacing w:line="500" w:lineRule="exact"/>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20</w:t>
            </w:r>
          </w:p>
        </w:tc>
        <w:tc>
          <w:tcPr>
            <w:tcW w:w="4112" w:type="dxa"/>
            <w:tcBorders>
              <w:top w:val="single" w:sz="8" w:space="0" w:color="000000"/>
              <w:left w:val="single" w:sz="8" w:space="0" w:color="000000"/>
              <w:bottom w:val="single" w:sz="8" w:space="0" w:color="000000"/>
              <w:right w:val="single" w:sz="8" w:space="0" w:color="000000"/>
            </w:tcBorders>
            <w:shd w:val="clear" w:color="auto" w:fill="auto"/>
            <w:noWrap/>
          </w:tcPr>
          <w:p w14:paraId="7141BA67" w14:textId="77777777" w:rsidR="000E058F" w:rsidRDefault="009755FF">
            <w:pPr>
              <w:widowControl/>
              <w:spacing w:line="50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建筑工地</w:t>
            </w:r>
          </w:p>
        </w:tc>
        <w:tc>
          <w:tcPr>
            <w:tcW w:w="3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9901C6" w14:textId="77777777" w:rsidR="000E058F" w:rsidRDefault="000E058F">
            <w:pPr>
              <w:widowControl/>
              <w:spacing w:line="500" w:lineRule="exact"/>
              <w:jc w:val="center"/>
              <w:textAlignment w:val="center"/>
              <w:rPr>
                <w:rFonts w:ascii="Times New Roman" w:eastAsia="宋体" w:hAnsi="Times New Roman" w:cs="Times New Roman"/>
                <w:color w:val="000000"/>
                <w:kern w:val="0"/>
                <w:szCs w:val="21"/>
                <w:lang w:bidi="ar"/>
              </w:rPr>
            </w:pPr>
          </w:p>
        </w:tc>
      </w:tr>
    </w:tbl>
    <w:p w14:paraId="3A59E95E" w14:textId="77777777" w:rsidR="000E058F" w:rsidRDefault="000E058F">
      <w:pPr>
        <w:spacing w:line="400" w:lineRule="exact"/>
        <w:ind w:firstLineChars="200" w:firstLine="640"/>
        <w:rPr>
          <w:rFonts w:ascii="Times New Roman" w:eastAsia="黑体" w:hAnsi="Times New Roman" w:cs="Times New Roman"/>
          <w:sz w:val="32"/>
          <w:szCs w:val="32"/>
        </w:rPr>
      </w:pPr>
    </w:p>
    <w:p w14:paraId="265A9178" w14:textId="77777777" w:rsidR="000E058F" w:rsidRDefault="009755FF">
      <w:pPr>
        <w:pStyle w:val="a5"/>
        <w:widowControl/>
        <w:spacing w:beforeAutospacing="0" w:afterAutospacing="0" w:line="480" w:lineRule="exact"/>
        <w:ind w:leftChars="200" w:left="420"/>
        <w:rPr>
          <w:rFonts w:ascii="Times New Roman" w:eastAsia="黑体" w:hAnsi="Times New Roman"/>
          <w:kern w:val="2"/>
          <w:sz w:val="32"/>
          <w:szCs w:val="32"/>
        </w:rPr>
      </w:pPr>
      <w:r>
        <w:rPr>
          <w:rFonts w:ascii="Times New Roman" w:eastAsia="黑体" w:hAnsi="Times New Roman" w:hint="eastAsia"/>
          <w:kern w:val="2"/>
          <w:sz w:val="32"/>
          <w:szCs w:val="32"/>
        </w:rPr>
        <w:lastRenderedPageBreak/>
        <w:t>七、</w:t>
      </w:r>
      <w:r>
        <w:rPr>
          <w:rFonts w:ascii="Times New Roman" w:eastAsia="黑体" w:hAnsi="Times New Roman"/>
          <w:kern w:val="2"/>
          <w:sz w:val="32"/>
          <w:szCs w:val="32"/>
        </w:rPr>
        <w:t>优化区域核酸检测策略</w:t>
      </w:r>
    </w:p>
    <w:p w14:paraId="7B8B65A8" w14:textId="77777777" w:rsidR="000E058F" w:rsidRDefault="000E058F">
      <w:pPr>
        <w:pStyle w:val="a5"/>
        <w:widowControl/>
        <w:spacing w:beforeAutospacing="0" w:afterAutospacing="0" w:line="300" w:lineRule="exact"/>
        <w:ind w:leftChars="200" w:left="420"/>
        <w:rPr>
          <w:rFonts w:ascii="Times New Roman" w:eastAsia="黑体" w:hAnsi="Times New Roman"/>
          <w:kern w:val="2"/>
          <w:sz w:val="32"/>
          <w:szCs w:val="32"/>
        </w:rPr>
      </w:pPr>
    </w:p>
    <w:tbl>
      <w:tblPr>
        <w:tblStyle w:val="a6"/>
        <w:tblW w:w="8998" w:type="dxa"/>
        <w:jc w:val="center"/>
        <w:tblLook w:val="04A0" w:firstRow="1" w:lastRow="0" w:firstColumn="1" w:lastColumn="0" w:noHBand="0" w:noVBand="1"/>
      </w:tblPr>
      <w:tblGrid>
        <w:gridCol w:w="1471"/>
        <w:gridCol w:w="3794"/>
        <w:gridCol w:w="3733"/>
      </w:tblGrid>
      <w:tr w:rsidR="000E058F" w14:paraId="775E3A67" w14:textId="77777777">
        <w:trPr>
          <w:trHeight w:val="674"/>
          <w:jc w:val="center"/>
        </w:trPr>
        <w:tc>
          <w:tcPr>
            <w:tcW w:w="1471" w:type="dxa"/>
          </w:tcPr>
          <w:p w14:paraId="2DC7DFA9" w14:textId="77777777" w:rsidR="000E058F" w:rsidRDefault="000E058F">
            <w:pPr>
              <w:spacing w:line="567" w:lineRule="exact"/>
              <w:rPr>
                <w:rFonts w:ascii="Times New Roman" w:hAnsi="Times New Roman" w:cs="Times New Roman"/>
              </w:rPr>
            </w:pPr>
          </w:p>
        </w:tc>
        <w:tc>
          <w:tcPr>
            <w:tcW w:w="3794" w:type="dxa"/>
            <w:vAlign w:val="center"/>
          </w:tcPr>
          <w:p w14:paraId="67DC1329"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情况</w:t>
            </w:r>
            <w:proofErr w:type="gramStart"/>
            <w:r>
              <w:rPr>
                <w:rFonts w:ascii="Times New Roman" w:eastAsia="宋体" w:hAnsi="Times New Roman" w:cs="Times New Roman"/>
                <w:b/>
                <w:bCs/>
                <w:color w:val="000000"/>
                <w:kern w:val="0"/>
                <w:szCs w:val="21"/>
                <w:lang w:bidi="ar"/>
              </w:rPr>
              <w:t>一</w:t>
            </w:r>
            <w:proofErr w:type="gramEnd"/>
          </w:p>
        </w:tc>
        <w:tc>
          <w:tcPr>
            <w:tcW w:w="3733" w:type="dxa"/>
            <w:vAlign w:val="center"/>
          </w:tcPr>
          <w:p w14:paraId="00D7F1A7"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情况二</w:t>
            </w:r>
          </w:p>
        </w:tc>
      </w:tr>
      <w:tr w:rsidR="000E058F" w14:paraId="324F3949" w14:textId="77777777">
        <w:trPr>
          <w:trHeight w:val="3370"/>
          <w:jc w:val="center"/>
        </w:trPr>
        <w:tc>
          <w:tcPr>
            <w:tcW w:w="1471" w:type="dxa"/>
            <w:vAlign w:val="center"/>
          </w:tcPr>
          <w:p w14:paraId="74F37E19" w14:textId="77777777" w:rsidR="000E058F" w:rsidRDefault="000E058F">
            <w:pPr>
              <w:widowControl/>
              <w:spacing w:line="500" w:lineRule="exact"/>
              <w:jc w:val="center"/>
              <w:textAlignment w:val="center"/>
              <w:rPr>
                <w:rFonts w:ascii="Times New Roman" w:eastAsia="宋体" w:hAnsi="Times New Roman" w:cs="Times New Roman"/>
                <w:b/>
                <w:bCs/>
                <w:color w:val="000000"/>
                <w:kern w:val="0"/>
                <w:szCs w:val="21"/>
                <w:lang w:bidi="ar"/>
              </w:rPr>
            </w:pPr>
          </w:p>
          <w:p w14:paraId="3C39740D"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省会城市和千万级人口以上城市</w:t>
            </w:r>
          </w:p>
        </w:tc>
        <w:tc>
          <w:tcPr>
            <w:tcW w:w="3794" w:type="dxa"/>
            <w:vAlign w:val="center"/>
          </w:tcPr>
          <w:p w14:paraId="0325F104" w14:textId="77777777" w:rsidR="000E058F" w:rsidRDefault="009755FF">
            <w:pPr>
              <w:spacing w:line="460" w:lineRule="exact"/>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疫情发生后，经流调研判，传播链不清、风险场所和风险人员多、风险人员流动性大，疫情存在扩散风险时：</w:t>
            </w:r>
            <w:r>
              <w:rPr>
                <w:rFonts w:asciiTheme="minorEastAsia" w:hAnsiTheme="minorEastAsia" w:cstheme="minorEastAsia"/>
                <w:b/>
                <w:bCs/>
                <w:color w:val="000000"/>
                <w:kern w:val="0"/>
                <w:szCs w:val="21"/>
                <w:lang w:bidi="ar"/>
              </w:rPr>
              <w:t>疫情所在区</w:t>
            </w:r>
            <w:r>
              <w:rPr>
                <w:rFonts w:asciiTheme="minorEastAsia" w:hAnsiTheme="minorEastAsia" w:cstheme="minorEastAsia"/>
                <w:color w:val="000000"/>
                <w:kern w:val="0"/>
                <w:szCs w:val="21"/>
                <w:lang w:bidi="ar"/>
              </w:rPr>
              <w:t>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感染者后，间隔</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天再开展一次全员核酸检测，</w:t>
            </w:r>
            <w:proofErr w:type="gramStart"/>
            <w:r>
              <w:rPr>
                <w:rFonts w:asciiTheme="minorEastAsia" w:hAnsiTheme="minorEastAsia" w:cstheme="minorEastAsia"/>
                <w:color w:val="000000"/>
                <w:kern w:val="0"/>
                <w:szCs w:val="21"/>
                <w:lang w:bidi="ar"/>
              </w:rPr>
              <w:t>无社会面</w:t>
            </w:r>
            <w:proofErr w:type="gramEnd"/>
            <w:r>
              <w:rPr>
                <w:rFonts w:asciiTheme="minorEastAsia" w:hAnsiTheme="minorEastAsia" w:cstheme="minorEastAsia"/>
                <w:color w:val="000000"/>
                <w:kern w:val="0"/>
                <w:szCs w:val="21"/>
                <w:lang w:bidi="ar"/>
              </w:rPr>
              <w:t>感染者可停止全员核酸检测。</w:t>
            </w:r>
          </w:p>
        </w:tc>
        <w:tc>
          <w:tcPr>
            <w:tcW w:w="3733" w:type="dxa"/>
            <w:vAlign w:val="center"/>
          </w:tcPr>
          <w:p w14:paraId="619BD535" w14:textId="77777777" w:rsidR="000E058F" w:rsidRDefault="009755FF">
            <w:pPr>
              <w:widowControl/>
              <w:spacing w:line="46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感染者活动频繁、停留时间长的其他区，可基于流调研判，划定一定区域开展全员核酸检测。原则上每日开展一次全员核酸检测，连续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感染者，可停止全员核酸检测。</w:t>
            </w:r>
          </w:p>
        </w:tc>
      </w:tr>
      <w:tr w:rsidR="000E058F" w14:paraId="5E8C8CE8" w14:textId="77777777">
        <w:trPr>
          <w:trHeight w:val="3222"/>
          <w:jc w:val="center"/>
        </w:trPr>
        <w:tc>
          <w:tcPr>
            <w:tcW w:w="1471" w:type="dxa"/>
            <w:vAlign w:val="center"/>
          </w:tcPr>
          <w:p w14:paraId="245566A2" w14:textId="77777777" w:rsidR="000E058F" w:rsidRDefault="000E058F">
            <w:pPr>
              <w:widowControl/>
              <w:spacing w:line="500" w:lineRule="exact"/>
              <w:jc w:val="center"/>
              <w:textAlignment w:val="center"/>
              <w:rPr>
                <w:rFonts w:ascii="Times New Roman" w:eastAsia="宋体" w:hAnsi="Times New Roman" w:cs="Times New Roman"/>
                <w:b/>
                <w:bCs/>
                <w:color w:val="000000"/>
                <w:kern w:val="0"/>
                <w:szCs w:val="21"/>
                <w:lang w:bidi="ar"/>
              </w:rPr>
            </w:pPr>
          </w:p>
          <w:p w14:paraId="7B4F28C5"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一般城市</w:t>
            </w:r>
          </w:p>
        </w:tc>
        <w:tc>
          <w:tcPr>
            <w:tcW w:w="3794" w:type="dxa"/>
            <w:vAlign w:val="center"/>
          </w:tcPr>
          <w:p w14:paraId="26DBF831" w14:textId="77777777" w:rsidR="000E058F" w:rsidRDefault="009755FF">
            <w:pPr>
              <w:spacing w:line="460" w:lineRule="exact"/>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疫情发生后，经流调研判，传播链不清、风险场所和风险人员多、风险人员流动性大，疫情存在扩散风险时：</w:t>
            </w:r>
            <w:r>
              <w:rPr>
                <w:rFonts w:asciiTheme="minorEastAsia" w:hAnsiTheme="minorEastAsia" w:cstheme="minorEastAsia"/>
                <w:b/>
                <w:bCs/>
                <w:color w:val="000000"/>
                <w:kern w:val="0"/>
                <w:szCs w:val="21"/>
                <w:lang w:bidi="ar"/>
              </w:rPr>
              <w:t>疫情所在</w:t>
            </w:r>
            <w:r>
              <w:rPr>
                <w:rFonts w:asciiTheme="minorEastAsia" w:hAnsiTheme="minorEastAsia" w:cstheme="minorEastAsia" w:hint="eastAsia"/>
                <w:b/>
                <w:bCs/>
                <w:color w:val="000000"/>
                <w:kern w:val="0"/>
                <w:szCs w:val="21"/>
                <w:lang w:bidi="ar"/>
              </w:rPr>
              <w:t>市的城</w:t>
            </w:r>
            <w:r>
              <w:rPr>
                <w:rFonts w:asciiTheme="minorEastAsia" w:hAnsiTheme="minorEastAsia" w:cstheme="minorEastAsia"/>
                <w:b/>
                <w:bCs/>
                <w:color w:val="000000"/>
                <w:kern w:val="0"/>
                <w:szCs w:val="21"/>
                <w:lang w:bidi="ar"/>
              </w:rPr>
              <w:t>区</w:t>
            </w:r>
            <w:r>
              <w:rPr>
                <w:rFonts w:asciiTheme="minorEastAsia" w:hAnsiTheme="minorEastAsia" w:cstheme="minorEastAsia"/>
                <w:color w:val="000000"/>
                <w:kern w:val="0"/>
                <w:szCs w:val="21"/>
                <w:lang w:bidi="ar"/>
              </w:rPr>
              <w:t>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感染者后，间隔</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天再开展一次全员核酸检测，</w:t>
            </w:r>
            <w:proofErr w:type="gramStart"/>
            <w:r>
              <w:rPr>
                <w:rFonts w:asciiTheme="minorEastAsia" w:hAnsiTheme="minorEastAsia" w:cstheme="minorEastAsia"/>
                <w:color w:val="000000"/>
                <w:kern w:val="0"/>
                <w:szCs w:val="21"/>
                <w:lang w:bidi="ar"/>
              </w:rPr>
              <w:t>无社会面</w:t>
            </w:r>
            <w:proofErr w:type="gramEnd"/>
            <w:r>
              <w:rPr>
                <w:rFonts w:asciiTheme="minorEastAsia" w:hAnsiTheme="minorEastAsia" w:cstheme="minorEastAsia"/>
                <w:color w:val="000000"/>
                <w:kern w:val="0"/>
                <w:szCs w:val="21"/>
                <w:lang w:bidi="ar"/>
              </w:rPr>
              <w:t>感染者可停止全员核酸检测。</w:t>
            </w:r>
          </w:p>
        </w:tc>
        <w:tc>
          <w:tcPr>
            <w:tcW w:w="3733" w:type="dxa"/>
            <w:vAlign w:val="center"/>
          </w:tcPr>
          <w:p w14:paraId="5FCD358F" w14:textId="77777777" w:rsidR="000E058F" w:rsidRDefault="009755FF">
            <w:pPr>
              <w:widowControl/>
              <w:spacing w:line="46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城区之外的区域，基于流调研判，划定一定区域开展全员核酸检测。原则上每日开展一次全员核酸检测，连续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感染者，可停止全员核酸检测。</w:t>
            </w:r>
          </w:p>
        </w:tc>
      </w:tr>
      <w:tr w:rsidR="000E058F" w14:paraId="1117CC78" w14:textId="77777777">
        <w:trPr>
          <w:trHeight w:val="3896"/>
          <w:jc w:val="center"/>
        </w:trPr>
        <w:tc>
          <w:tcPr>
            <w:tcW w:w="1471" w:type="dxa"/>
            <w:vAlign w:val="center"/>
          </w:tcPr>
          <w:p w14:paraId="510697F1" w14:textId="77777777" w:rsidR="000E058F" w:rsidRDefault="000E058F">
            <w:pPr>
              <w:widowControl/>
              <w:spacing w:line="500" w:lineRule="exact"/>
              <w:jc w:val="center"/>
              <w:textAlignment w:val="center"/>
              <w:rPr>
                <w:rFonts w:ascii="Times New Roman" w:eastAsia="宋体" w:hAnsi="Times New Roman" w:cs="Times New Roman"/>
                <w:b/>
                <w:bCs/>
                <w:color w:val="000000"/>
                <w:kern w:val="0"/>
                <w:szCs w:val="21"/>
                <w:lang w:bidi="ar"/>
              </w:rPr>
            </w:pPr>
          </w:p>
          <w:p w14:paraId="04FFD577" w14:textId="77777777" w:rsidR="000E058F" w:rsidRDefault="009755FF">
            <w:pPr>
              <w:widowControl/>
              <w:spacing w:line="500" w:lineRule="exact"/>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农村地区</w:t>
            </w:r>
          </w:p>
        </w:tc>
        <w:tc>
          <w:tcPr>
            <w:tcW w:w="3794" w:type="dxa"/>
            <w:vAlign w:val="center"/>
          </w:tcPr>
          <w:p w14:paraId="65ACF2B2" w14:textId="77777777" w:rsidR="000E058F" w:rsidRDefault="009755FF">
            <w:pPr>
              <w:spacing w:line="460" w:lineRule="exact"/>
              <w:rPr>
                <w:rFonts w:ascii="Times New Roman" w:eastAsia="黑体" w:hAnsi="Times New Roman" w:cs="Times New Roman"/>
                <w:sz w:val="32"/>
                <w:szCs w:val="32"/>
              </w:rPr>
            </w:pPr>
            <w:r>
              <w:rPr>
                <w:rFonts w:asciiTheme="minorEastAsia" w:hAnsiTheme="minorEastAsia" w:cstheme="minorEastAsia"/>
                <w:color w:val="000000"/>
                <w:kern w:val="0"/>
                <w:szCs w:val="21"/>
                <w:lang w:bidi="ar"/>
              </w:rPr>
              <w:t>疫情发生后，经流调研判，传播链不清、风险场所和风险人员多、风险人员流动性大，疫情存在扩散风险时：</w:t>
            </w:r>
            <w:r>
              <w:rPr>
                <w:rFonts w:asciiTheme="minorEastAsia" w:hAnsiTheme="minorEastAsia" w:cstheme="minorEastAsia"/>
                <w:b/>
                <w:bCs/>
                <w:color w:val="000000"/>
                <w:kern w:val="0"/>
                <w:szCs w:val="21"/>
                <w:lang w:bidi="ar"/>
              </w:rPr>
              <w:t>疫情所在</w:t>
            </w:r>
            <w:r>
              <w:rPr>
                <w:rFonts w:asciiTheme="minorEastAsia" w:hAnsiTheme="minorEastAsia" w:cstheme="minorEastAsia" w:hint="eastAsia"/>
                <w:b/>
                <w:bCs/>
                <w:color w:val="000000"/>
                <w:kern w:val="0"/>
                <w:szCs w:val="21"/>
                <w:lang w:bidi="ar"/>
              </w:rPr>
              <w:t>自然村、涉及乡镇政府所在地及所在县城</w:t>
            </w:r>
            <w:r>
              <w:rPr>
                <w:rFonts w:asciiTheme="minorEastAsia" w:hAnsiTheme="minorEastAsia" w:cstheme="minorEastAsia"/>
                <w:color w:val="000000"/>
                <w:kern w:val="0"/>
                <w:szCs w:val="21"/>
                <w:lang w:bidi="ar"/>
              </w:rPr>
              <w:t>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感染者后，间隔</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天再开展一次全员核酸检测，</w:t>
            </w:r>
            <w:proofErr w:type="gramStart"/>
            <w:r>
              <w:rPr>
                <w:rFonts w:asciiTheme="minorEastAsia" w:hAnsiTheme="minorEastAsia" w:cstheme="minorEastAsia"/>
                <w:color w:val="000000"/>
                <w:kern w:val="0"/>
                <w:szCs w:val="21"/>
                <w:lang w:bidi="ar"/>
              </w:rPr>
              <w:t>无社会面</w:t>
            </w:r>
            <w:proofErr w:type="gramEnd"/>
            <w:r>
              <w:rPr>
                <w:rFonts w:asciiTheme="minorEastAsia" w:hAnsiTheme="minorEastAsia" w:cstheme="minorEastAsia"/>
                <w:color w:val="000000"/>
                <w:kern w:val="0"/>
                <w:szCs w:val="21"/>
                <w:lang w:bidi="ar"/>
              </w:rPr>
              <w:t>感染者可停止全员核酸检测。</w:t>
            </w:r>
          </w:p>
          <w:p w14:paraId="36E786E8" w14:textId="77777777" w:rsidR="000E058F" w:rsidRDefault="000E058F">
            <w:pPr>
              <w:widowControl/>
              <w:spacing w:line="460" w:lineRule="exact"/>
              <w:textAlignment w:val="center"/>
              <w:rPr>
                <w:rFonts w:ascii="Times New Roman" w:eastAsia="宋体" w:hAnsi="Times New Roman" w:cs="Times New Roman"/>
                <w:color w:val="000000"/>
                <w:kern w:val="0"/>
                <w:szCs w:val="21"/>
                <w:lang w:bidi="ar"/>
              </w:rPr>
            </w:pPr>
          </w:p>
        </w:tc>
        <w:tc>
          <w:tcPr>
            <w:tcW w:w="3733" w:type="dxa"/>
            <w:vAlign w:val="center"/>
          </w:tcPr>
          <w:p w14:paraId="6B2F4FDD" w14:textId="77777777" w:rsidR="000E058F" w:rsidRDefault="009755FF">
            <w:pPr>
              <w:widowControl/>
              <w:spacing w:line="460" w:lineRule="exac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疫情波及多个乡镇时，基于流调研判，扩大范围开展全员核酸检测。原则上每日开展一次全员核酸检测，连续</w:t>
            </w:r>
            <w:r>
              <w:rPr>
                <w:rFonts w:asciiTheme="minorEastAsia" w:hAnsiTheme="minorEastAsia" w:cstheme="minorEastAsia"/>
                <w:color w:val="000000"/>
                <w:kern w:val="0"/>
                <w:szCs w:val="21"/>
                <w:lang w:bidi="ar"/>
              </w:rPr>
              <w:t>3</w:t>
            </w:r>
            <w:r>
              <w:rPr>
                <w:rFonts w:asciiTheme="minorEastAsia" w:hAnsiTheme="minorEastAsia" w:cstheme="minorEastAsia"/>
                <w:color w:val="000000"/>
                <w:kern w:val="0"/>
                <w:szCs w:val="21"/>
                <w:lang w:bidi="ar"/>
              </w:rPr>
              <w:t>次核酸</w:t>
            </w:r>
            <w:proofErr w:type="gramStart"/>
            <w:r>
              <w:rPr>
                <w:rFonts w:asciiTheme="minorEastAsia" w:hAnsiTheme="minorEastAsia" w:cstheme="minorEastAsia"/>
                <w:color w:val="000000"/>
                <w:kern w:val="0"/>
                <w:szCs w:val="21"/>
                <w:lang w:bidi="ar"/>
              </w:rPr>
              <w:t>检测无社会面</w:t>
            </w:r>
            <w:proofErr w:type="gramEnd"/>
            <w:r>
              <w:rPr>
                <w:rFonts w:asciiTheme="minorEastAsia" w:hAnsiTheme="minorEastAsia" w:cstheme="minorEastAsia"/>
                <w:color w:val="000000"/>
                <w:kern w:val="0"/>
                <w:szCs w:val="21"/>
                <w:lang w:bidi="ar"/>
              </w:rPr>
              <w:t>感染者，可停止全员核酸检测。</w:t>
            </w:r>
          </w:p>
        </w:tc>
      </w:tr>
    </w:tbl>
    <w:p w14:paraId="590BE2BF" w14:textId="77777777" w:rsidR="000E058F" w:rsidRDefault="000E058F">
      <w:pPr>
        <w:widowControl/>
        <w:spacing w:line="567" w:lineRule="exact"/>
        <w:rPr>
          <w:rFonts w:ascii="Times New Roman" w:eastAsia="仿宋_GB2312" w:hAnsi="Times New Roman" w:cs="Times New Roman"/>
          <w:color w:val="222222"/>
          <w:spacing w:val="7"/>
          <w:kern w:val="0"/>
          <w:sz w:val="32"/>
          <w:szCs w:val="32"/>
          <w:shd w:val="clear" w:color="auto" w:fill="FFFFFF"/>
          <w:lang w:bidi="ar"/>
        </w:rPr>
      </w:pPr>
    </w:p>
    <w:sectPr w:rsidR="000E058F">
      <w:footerReference w:type="default" r:id="rId7"/>
      <w:pgSz w:w="11906" w:h="16838"/>
      <w:pgMar w:top="2098" w:right="1474" w:bottom="181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4E8E" w14:textId="77777777" w:rsidR="009755FF" w:rsidRDefault="009755FF">
      <w:r>
        <w:separator/>
      </w:r>
    </w:p>
  </w:endnote>
  <w:endnote w:type="continuationSeparator" w:id="0">
    <w:p w14:paraId="44740E5A" w14:textId="77777777" w:rsidR="009755FF" w:rsidRDefault="0097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C95" w14:textId="77777777" w:rsidR="000E058F" w:rsidRDefault="009755FF">
    <w:pPr>
      <w:pStyle w:val="a3"/>
    </w:pPr>
    <w:r>
      <w:rPr>
        <w:noProof/>
      </w:rPr>
      <mc:AlternateContent>
        <mc:Choice Requires="wps">
          <w:drawing>
            <wp:anchor distT="0" distB="0" distL="114300" distR="114300" simplePos="0" relativeHeight="251659264" behindDoc="0" locked="0" layoutInCell="1" allowOverlap="1" wp14:anchorId="651AF8DA" wp14:editId="56C9C246">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2ED3AB" w14:textId="77777777" w:rsidR="000E058F" w:rsidRDefault="009755FF">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1AF8DA"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52ED3AB" w14:textId="77777777" w:rsidR="000E058F" w:rsidRDefault="009755FF">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F62C" w14:textId="77777777" w:rsidR="009755FF" w:rsidRDefault="009755FF">
      <w:r>
        <w:separator/>
      </w:r>
    </w:p>
  </w:footnote>
  <w:footnote w:type="continuationSeparator" w:id="0">
    <w:p w14:paraId="66FDB2F4" w14:textId="77777777" w:rsidR="009755FF" w:rsidRDefault="0097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ZlOWM5MjE5N2Q4MTAxOGY1OWE1ODE3MzExNmJiYzQifQ=="/>
  </w:docVars>
  <w:rsids>
    <w:rsidRoot w:val="6E9B2965"/>
    <w:rsid w:val="000E058F"/>
    <w:rsid w:val="009755FF"/>
    <w:rsid w:val="00CA0F96"/>
    <w:rsid w:val="03BD32ED"/>
    <w:rsid w:val="03EB1DFF"/>
    <w:rsid w:val="05905F80"/>
    <w:rsid w:val="0A6415FE"/>
    <w:rsid w:val="0A893D88"/>
    <w:rsid w:val="0D5578ED"/>
    <w:rsid w:val="11955565"/>
    <w:rsid w:val="12372BFA"/>
    <w:rsid w:val="16A46254"/>
    <w:rsid w:val="17916DD1"/>
    <w:rsid w:val="1C19383D"/>
    <w:rsid w:val="1F812636"/>
    <w:rsid w:val="1F8D4F45"/>
    <w:rsid w:val="25273FA6"/>
    <w:rsid w:val="2A4B1575"/>
    <w:rsid w:val="2DAC0DC5"/>
    <w:rsid w:val="2FE85B47"/>
    <w:rsid w:val="337E0127"/>
    <w:rsid w:val="357A4D33"/>
    <w:rsid w:val="387C6164"/>
    <w:rsid w:val="39292CF8"/>
    <w:rsid w:val="3A45386F"/>
    <w:rsid w:val="4C013EF6"/>
    <w:rsid w:val="4FA155CE"/>
    <w:rsid w:val="54704A0D"/>
    <w:rsid w:val="573F60CA"/>
    <w:rsid w:val="5ACE32A8"/>
    <w:rsid w:val="5E932040"/>
    <w:rsid w:val="609F45D7"/>
    <w:rsid w:val="6239256C"/>
    <w:rsid w:val="63D40888"/>
    <w:rsid w:val="63F67029"/>
    <w:rsid w:val="6452142F"/>
    <w:rsid w:val="64F501CA"/>
    <w:rsid w:val="66680A54"/>
    <w:rsid w:val="6AB45760"/>
    <w:rsid w:val="6CFD16B4"/>
    <w:rsid w:val="6E9B2965"/>
    <w:rsid w:val="6ED20A31"/>
    <w:rsid w:val="71FC6C93"/>
    <w:rsid w:val="74D06143"/>
    <w:rsid w:val="7831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AD6D6"/>
  <w15:docId w15:val="{B476FD64-C14B-413F-894E-34810089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customStyle="1" w:styleId="font31">
    <w:name w:val="font31"/>
    <w:basedOn w:val="a0"/>
    <w:qFormat/>
    <w:rPr>
      <w:rFonts w:ascii="MingLiU" w:eastAsia="MingLiU" w:hAnsi="MingLiU" w:cs="MingLiU" w:hint="default"/>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戚小兔</dc:creator>
  <cp:lastModifiedBy>LZ</cp:lastModifiedBy>
  <cp:revision>2</cp:revision>
  <cp:lastPrinted>2022-07-06T01:17:00Z</cp:lastPrinted>
  <dcterms:created xsi:type="dcterms:W3CDTF">2022-12-19T01:31:00Z</dcterms:created>
  <dcterms:modified xsi:type="dcterms:W3CDTF">2022-12-19T01:31:00Z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EC4892F7D5D649A0B09D1AB2C2AEDD07</vt:lpwstr>
  </property>
</Properties>
</file>